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08065" w14:textId="61788E2F" w:rsidR="006210B9" w:rsidRPr="00A44746" w:rsidRDefault="002910D4" w:rsidP="006210B9">
      <w:pPr>
        <w:pStyle w:val="Titre"/>
        <w:spacing w:before="120"/>
        <w:contextualSpacing w:val="0"/>
        <w:jc w:val="center"/>
        <w:rPr>
          <w:rFonts w:eastAsia="Century Gothic" w:cs="Century Gothic"/>
          <w:bCs/>
          <w:sz w:val="28"/>
          <w:szCs w:val="8"/>
        </w:rPr>
      </w:pPr>
      <w:proofErr w:type="gramStart"/>
      <w:r w:rsidRPr="002910D4">
        <w:rPr>
          <w:rFonts w:eastAsia="Century Gothic" w:cs="Century Gothic"/>
          <w:bCs/>
          <w:sz w:val="28"/>
          <w:szCs w:val="8"/>
        </w:rPr>
        <w:t>les</w:t>
      </w:r>
      <w:proofErr w:type="gramEnd"/>
      <w:r w:rsidRPr="002910D4">
        <w:rPr>
          <w:rFonts w:eastAsia="Century Gothic" w:cs="Century Gothic"/>
          <w:bCs/>
          <w:sz w:val="28"/>
          <w:szCs w:val="8"/>
        </w:rPr>
        <w:t xml:space="preserve"> </w:t>
      </w:r>
      <w:proofErr w:type="spellStart"/>
      <w:r w:rsidRPr="002910D4">
        <w:rPr>
          <w:rFonts w:eastAsia="Century Gothic" w:cs="Century Gothic"/>
          <w:bCs/>
          <w:sz w:val="28"/>
          <w:szCs w:val="8"/>
        </w:rPr>
        <w:t>cdc</w:t>
      </w:r>
      <w:proofErr w:type="spellEnd"/>
      <w:r w:rsidRPr="002910D4">
        <w:rPr>
          <w:rFonts w:eastAsia="Century Gothic" w:cs="Century Gothic"/>
          <w:bCs/>
          <w:sz w:val="28"/>
          <w:szCs w:val="8"/>
        </w:rPr>
        <w:t xml:space="preserve"> au cœur du développement </w:t>
      </w:r>
      <w:r w:rsidR="003E2B71">
        <w:rPr>
          <w:rFonts w:eastAsia="Century Gothic" w:cs="Century Gothic"/>
          <w:bCs/>
          <w:sz w:val="28"/>
          <w:szCs w:val="8"/>
        </w:rPr>
        <w:t>é</w:t>
      </w:r>
      <w:r w:rsidR="006156F5">
        <w:rPr>
          <w:rFonts w:eastAsia="Century Gothic" w:cs="Century Gothic"/>
          <w:bCs/>
          <w:sz w:val="28"/>
          <w:szCs w:val="8"/>
        </w:rPr>
        <w:t xml:space="preserve">conomique </w:t>
      </w:r>
      <w:r w:rsidRPr="002910D4">
        <w:rPr>
          <w:rFonts w:eastAsia="Century Gothic" w:cs="Century Gothic"/>
          <w:bCs/>
          <w:sz w:val="28"/>
          <w:szCs w:val="8"/>
        </w:rPr>
        <w:t>local</w:t>
      </w:r>
    </w:p>
    <w:p w14:paraId="3B0EE2C6" w14:textId="1C4F12A8" w:rsidR="006210B9" w:rsidRDefault="006156F5" w:rsidP="00A44746">
      <w:pPr>
        <w:pStyle w:val="Titre1"/>
        <w:spacing w:before="0"/>
        <w:jc w:val="center"/>
      </w:pPr>
      <w:r>
        <w:rPr>
          <w:rFonts w:eastAsia="Century Gothic" w:cs="Century Gothic"/>
          <w:b/>
          <w:bCs/>
          <w:iCs/>
        </w:rPr>
        <w:t xml:space="preserve">LE CARACTÈRE ÉCONOMIQUE STRUCTURANT DU MILIEU COMMUNAUTAIRE CONFIRMÉ PAR </w:t>
      </w:r>
      <w:r w:rsidR="00E86AA4">
        <w:rPr>
          <w:rFonts w:eastAsia="Century Gothic" w:cs="Century Gothic"/>
          <w:b/>
          <w:bCs/>
          <w:iCs/>
        </w:rPr>
        <w:t xml:space="preserve">UNE ÉTUDE </w:t>
      </w:r>
      <w:r w:rsidR="00E86AA4" w:rsidRPr="00E86AA4">
        <w:rPr>
          <w:rFonts w:eastAsia="Century Gothic" w:cs="Century Gothic"/>
          <w:b/>
          <w:bCs/>
          <w:iCs/>
        </w:rPr>
        <w:t>INDÉPENDANTE</w:t>
      </w:r>
    </w:p>
    <w:p w14:paraId="30FFEC0D" w14:textId="21A24542" w:rsidR="00BE708D" w:rsidRDefault="00BE708D" w:rsidP="002910D4">
      <w:pPr>
        <w:pStyle w:val="Corpsdutexte"/>
        <w:spacing w:before="0" w:line="240" w:lineRule="auto"/>
        <w:rPr>
          <w:b/>
          <w:sz w:val="20"/>
          <w:shd w:val="clear" w:color="auto" w:fill="FFFFFF"/>
          <w:lang w:val="fr-CA"/>
        </w:rPr>
      </w:pPr>
    </w:p>
    <w:p w14:paraId="2E8343E6" w14:textId="6ADAC6B7" w:rsidR="00E86AA4" w:rsidRPr="00631583" w:rsidRDefault="006210B9" w:rsidP="00631583">
      <w:pPr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631583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TROIS-RIVIÈRES, </w:t>
      </w:r>
      <w:r w:rsidR="00F6398C" w:rsidRPr="00631583">
        <w:rPr>
          <w:rFonts w:ascii="Century Gothic" w:eastAsia="Century Gothic" w:hAnsi="Century Gothic" w:cs="Century Gothic"/>
          <w:b/>
          <w:bCs/>
          <w:sz w:val="20"/>
          <w:szCs w:val="20"/>
        </w:rPr>
        <w:t>le</w:t>
      </w:r>
      <w:r w:rsidR="00413AA1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24 janvier 2022 </w:t>
      </w:r>
      <w:r w:rsidR="00413AA1" w:rsidRPr="00413AA1">
        <w:rPr>
          <w:rFonts w:ascii="Century Gothic" w:eastAsia="Century Gothic" w:hAnsi="Century Gothic" w:cs="Century Gothic"/>
          <w:sz w:val="20"/>
          <w:szCs w:val="20"/>
        </w:rPr>
        <w:t>– Une</w:t>
      </w:r>
      <w:r w:rsidR="00413AA1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</w:t>
      </w:r>
      <w:r w:rsidR="00E86AA4" w:rsidRPr="00631583">
        <w:rPr>
          <w:rFonts w:ascii="Century Gothic" w:eastAsia="Century Gothic" w:hAnsi="Century Gothic" w:cs="Century Gothic"/>
          <w:sz w:val="20"/>
          <w:szCs w:val="20"/>
        </w:rPr>
        <w:t xml:space="preserve">récente étude d’impact économique commandée par la Table nationale des corporations de développement communautaire (TNCDC) et réalisée par la firme </w:t>
      </w:r>
      <w:r w:rsidR="002179ED">
        <w:rPr>
          <w:rFonts w:ascii="Century Gothic" w:eastAsia="Century Gothic" w:hAnsi="Century Gothic" w:cs="Century Gothic"/>
          <w:sz w:val="20"/>
          <w:szCs w:val="20"/>
        </w:rPr>
        <w:t>spécialisée en analyse économique</w:t>
      </w:r>
      <w:r w:rsidR="002179ED" w:rsidRPr="00631583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proofErr w:type="spellStart"/>
      <w:r w:rsidR="00E86AA4" w:rsidRPr="00631583">
        <w:rPr>
          <w:rFonts w:ascii="Century Gothic" w:eastAsia="Century Gothic" w:hAnsi="Century Gothic" w:cs="Century Gothic"/>
          <w:sz w:val="20"/>
          <w:szCs w:val="20"/>
        </w:rPr>
        <w:t>AppEco</w:t>
      </w:r>
      <w:proofErr w:type="spellEnd"/>
      <w:r w:rsidR="00E86AA4" w:rsidRPr="00631583">
        <w:rPr>
          <w:rFonts w:ascii="Century Gothic" w:eastAsia="Century Gothic" w:hAnsi="Century Gothic" w:cs="Century Gothic"/>
          <w:sz w:val="20"/>
          <w:szCs w:val="20"/>
        </w:rPr>
        <w:t xml:space="preserve"> confirme le caractère économique structurant du secteur communautaire et l’ampleur, parfois insoupçonnée, de ses retombées économiques.</w:t>
      </w:r>
      <w:r w:rsidR="009B2AC0" w:rsidRPr="00631583">
        <w:rPr>
          <w:rFonts w:ascii="Century Gothic" w:eastAsia="Century Gothic" w:hAnsi="Century Gothic" w:cs="Century Gothic"/>
          <w:sz w:val="20"/>
          <w:szCs w:val="20"/>
        </w:rPr>
        <w:t xml:space="preserve"> En effet, l’étude démontre que les retombées sur l’emploi et le PIB d’un investissement gouvernemental dans le milieu communautaire sont supérieures à celles d’un investissement </w:t>
      </w:r>
      <w:r w:rsidR="002179ED">
        <w:rPr>
          <w:rFonts w:ascii="Century Gothic" w:eastAsia="Century Gothic" w:hAnsi="Century Gothic" w:cs="Century Gothic"/>
          <w:sz w:val="20"/>
          <w:szCs w:val="20"/>
        </w:rPr>
        <w:t xml:space="preserve">semblable </w:t>
      </w:r>
      <w:r w:rsidR="009B2AC0" w:rsidRPr="00631583">
        <w:rPr>
          <w:rFonts w:ascii="Century Gothic" w:eastAsia="Century Gothic" w:hAnsi="Century Gothic" w:cs="Century Gothic"/>
          <w:sz w:val="20"/>
          <w:szCs w:val="20"/>
        </w:rPr>
        <w:t xml:space="preserve">dans </w:t>
      </w:r>
      <w:r w:rsidR="00397DF4">
        <w:rPr>
          <w:rFonts w:ascii="Century Gothic" w:eastAsia="Century Gothic" w:hAnsi="Century Gothic" w:cs="Century Gothic"/>
          <w:sz w:val="20"/>
          <w:szCs w:val="20"/>
        </w:rPr>
        <w:t>l’ensemble de l’</w:t>
      </w:r>
      <w:r w:rsidR="009B2AC0" w:rsidRPr="00631583">
        <w:rPr>
          <w:rFonts w:ascii="Century Gothic" w:eastAsia="Century Gothic" w:hAnsi="Century Gothic" w:cs="Century Gothic"/>
          <w:sz w:val="20"/>
          <w:szCs w:val="20"/>
        </w:rPr>
        <w:t>économie</w:t>
      </w:r>
      <w:r w:rsidR="00397DF4">
        <w:rPr>
          <w:rFonts w:ascii="Century Gothic" w:eastAsia="Century Gothic" w:hAnsi="Century Gothic" w:cs="Century Gothic"/>
          <w:sz w:val="20"/>
          <w:szCs w:val="20"/>
        </w:rPr>
        <w:t xml:space="preserve"> québécoise</w:t>
      </w:r>
      <w:r w:rsidR="009B2AC0" w:rsidRPr="00631583"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0C29D53F" w14:textId="714A6C42" w:rsidR="002A7AC3" w:rsidRPr="00631583" w:rsidRDefault="002A7AC3" w:rsidP="00631583">
      <w:pPr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631583">
        <w:rPr>
          <w:rFonts w:ascii="Century Gothic" w:eastAsia="Century Gothic" w:hAnsi="Century Gothic" w:cs="Century Gothic"/>
          <w:sz w:val="20"/>
          <w:szCs w:val="20"/>
        </w:rPr>
        <w:t xml:space="preserve">En plus de souligner l’apport important à l’économie du milieu communautaire, l’étude démontre, chiffres à l’appui, </w:t>
      </w:r>
      <w:r w:rsidR="000A60FC">
        <w:rPr>
          <w:rFonts w:ascii="Century Gothic" w:eastAsia="Century Gothic" w:hAnsi="Century Gothic" w:cs="Century Gothic"/>
          <w:sz w:val="20"/>
          <w:szCs w:val="20"/>
        </w:rPr>
        <w:t xml:space="preserve">et </w:t>
      </w:r>
      <w:r w:rsidR="00A16805">
        <w:rPr>
          <w:rFonts w:ascii="Century Gothic" w:eastAsia="Century Gothic" w:hAnsi="Century Gothic" w:cs="Century Gothic"/>
          <w:sz w:val="20"/>
          <w:szCs w:val="20"/>
        </w:rPr>
        <w:t>de manière conservatrice,</w:t>
      </w:r>
      <w:r w:rsidRPr="00631583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 w:rsidR="000A60FC">
        <w:rPr>
          <w:rFonts w:ascii="Century Gothic" w:eastAsia="Century Gothic" w:hAnsi="Century Gothic" w:cs="Century Gothic"/>
          <w:sz w:val="20"/>
          <w:szCs w:val="20"/>
        </w:rPr>
        <w:t xml:space="preserve">que </w:t>
      </w:r>
      <w:r w:rsidRPr="00631583">
        <w:rPr>
          <w:rFonts w:ascii="Century Gothic" w:eastAsia="Century Gothic" w:hAnsi="Century Gothic" w:cs="Century Gothic"/>
          <w:sz w:val="20"/>
          <w:szCs w:val="20"/>
        </w:rPr>
        <w:t>le financement réel des CDC a</w:t>
      </w:r>
      <w:r w:rsidR="00397DF4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 w:rsidR="000A60FC">
        <w:rPr>
          <w:rFonts w:ascii="Century Gothic" w:eastAsia="Century Gothic" w:hAnsi="Century Gothic" w:cs="Century Gothic"/>
          <w:sz w:val="20"/>
          <w:szCs w:val="20"/>
        </w:rPr>
        <w:t>diminué</w:t>
      </w:r>
      <w:r w:rsidRPr="00631583">
        <w:rPr>
          <w:rFonts w:ascii="Century Gothic" w:eastAsia="Century Gothic" w:hAnsi="Century Gothic" w:cs="Century Gothic"/>
          <w:sz w:val="20"/>
          <w:szCs w:val="20"/>
        </w:rPr>
        <w:t xml:space="preserve"> de 12 % depuis 2001 lorsque l’on prend en compte l'inflation et le nombre de membres desservis. Ce sous-financement les empêche non seulement d’augmenter leurs ressources, mais elles se voient dans l’incapacité de contrer l’inflation et</w:t>
      </w:r>
      <w:r w:rsidR="00571F9C">
        <w:rPr>
          <w:rFonts w:ascii="Century Gothic" w:eastAsia="Century Gothic" w:hAnsi="Century Gothic" w:cs="Century Gothic"/>
          <w:sz w:val="20"/>
          <w:szCs w:val="20"/>
        </w:rPr>
        <w:t xml:space="preserve"> de répondre à</w:t>
      </w:r>
      <w:r w:rsidRPr="00631583">
        <w:rPr>
          <w:rFonts w:ascii="Century Gothic" w:eastAsia="Century Gothic" w:hAnsi="Century Gothic" w:cs="Century Gothic"/>
          <w:sz w:val="20"/>
          <w:szCs w:val="20"/>
        </w:rPr>
        <w:t xml:space="preserve"> la hausse</w:t>
      </w:r>
      <w:r w:rsidR="00A16805">
        <w:rPr>
          <w:rFonts w:ascii="Century Gothic" w:eastAsia="Century Gothic" w:hAnsi="Century Gothic" w:cs="Century Gothic"/>
          <w:sz w:val="20"/>
          <w:szCs w:val="20"/>
        </w:rPr>
        <w:t xml:space="preserve"> et la diversification</w:t>
      </w:r>
      <w:r w:rsidRPr="00631583">
        <w:rPr>
          <w:rFonts w:ascii="Century Gothic" w:eastAsia="Century Gothic" w:hAnsi="Century Gothic" w:cs="Century Gothic"/>
          <w:sz w:val="20"/>
          <w:szCs w:val="20"/>
        </w:rPr>
        <w:t xml:space="preserve"> des besoins, ce qui </w:t>
      </w:r>
      <w:r w:rsidR="003378B2">
        <w:rPr>
          <w:rFonts w:ascii="Century Gothic" w:eastAsia="Century Gothic" w:hAnsi="Century Gothic" w:cs="Century Gothic"/>
          <w:sz w:val="20"/>
          <w:szCs w:val="20"/>
        </w:rPr>
        <w:t>se solde</w:t>
      </w:r>
      <w:r w:rsidRPr="00631583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 w:rsidR="003378B2">
        <w:rPr>
          <w:rFonts w:ascii="Century Gothic" w:eastAsia="Century Gothic" w:hAnsi="Century Gothic" w:cs="Century Gothic"/>
          <w:sz w:val="20"/>
          <w:szCs w:val="20"/>
        </w:rPr>
        <w:t>par</w:t>
      </w:r>
      <w:r w:rsidRPr="00631583">
        <w:rPr>
          <w:rFonts w:ascii="Century Gothic" w:eastAsia="Century Gothic" w:hAnsi="Century Gothic" w:cs="Century Gothic"/>
          <w:sz w:val="20"/>
          <w:szCs w:val="20"/>
        </w:rPr>
        <w:t xml:space="preserve"> une capacité d’action moindre auprès des populations vulnérables.</w:t>
      </w:r>
    </w:p>
    <w:p w14:paraId="5806A96A" w14:textId="77777777" w:rsidR="00317FE2" w:rsidRPr="00631583" w:rsidRDefault="00317FE2" w:rsidP="00631583">
      <w:pPr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631583">
        <w:rPr>
          <w:rFonts w:ascii="Century Gothic" w:eastAsia="Century Gothic" w:hAnsi="Century Gothic" w:cs="Century Gothic"/>
          <w:sz w:val="20"/>
          <w:szCs w:val="20"/>
        </w:rPr>
        <w:t xml:space="preserve">« Le manque d’indicateurs quantitatifs et économiques probants a été un des enjeux soulevés par le gouvernement pour repousser une hausse du financement des CDC. Nous espérons que cette étude, qui confirme tant l’impact économique que le sous-financement des CDC, incitera le gouvernement à débloquer les sommes attendues. L’étude démontre clairement qu’investir dans le milieu </w:t>
      </w:r>
      <w:proofErr w:type="gramStart"/>
      <w:r w:rsidRPr="00631583">
        <w:rPr>
          <w:rFonts w:ascii="Century Gothic" w:eastAsia="Century Gothic" w:hAnsi="Century Gothic" w:cs="Century Gothic"/>
          <w:sz w:val="20"/>
          <w:szCs w:val="20"/>
        </w:rPr>
        <w:t>communautaire</w:t>
      </w:r>
      <w:proofErr w:type="gramEnd"/>
      <w:r w:rsidRPr="00631583">
        <w:rPr>
          <w:rFonts w:ascii="Century Gothic" w:eastAsia="Century Gothic" w:hAnsi="Century Gothic" w:cs="Century Gothic"/>
          <w:sz w:val="20"/>
          <w:szCs w:val="20"/>
        </w:rPr>
        <w:t>, c’est payant non seulement socialement, mais également sur le plan économique. », explique Marie-Line Audet, directrice générale de la TNCDC.</w:t>
      </w:r>
    </w:p>
    <w:p w14:paraId="78E98FA7" w14:textId="532E0934" w:rsidR="00DB7EFD" w:rsidRPr="00DB7EFD" w:rsidRDefault="00BA0367" w:rsidP="00DB7EFD">
      <w:pPr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Le</w:t>
      </w:r>
      <w:r w:rsidR="005A7337">
        <w:rPr>
          <w:rFonts w:ascii="Century Gothic" w:eastAsia="Century Gothic" w:hAnsi="Century Gothic" w:cs="Century Gothic"/>
          <w:b/>
          <w:sz w:val="20"/>
          <w:szCs w:val="20"/>
        </w:rPr>
        <w:t xml:space="preserve"> milieu communautaire, </w:t>
      </w:r>
      <w:r w:rsidR="00397DF4">
        <w:rPr>
          <w:rFonts w:ascii="Century Gothic" w:eastAsia="Century Gothic" w:hAnsi="Century Gothic" w:cs="Century Gothic"/>
          <w:b/>
          <w:sz w:val="20"/>
          <w:szCs w:val="20"/>
        </w:rPr>
        <w:t>un investissement rentable</w:t>
      </w:r>
    </w:p>
    <w:p w14:paraId="349C8AAA" w14:textId="1E4877F1" w:rsidR="00631583" w:rsidRPr="00631583" w:rsidRDefault="002A7AC3" w:rsidP="00631583">
      <w:pPr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631583">
        <w:rPr>
          <w:rFonts w:ascii="Century Gothic" w:eastAsia="Century Gothic" w:hAnsi="Century Gothic" w:cs="Century Gothic"/>
          <w:sz w:val="20"/>
          <w:szCs w:val="20"/>
        </w:rPr>
        <w:t xml:space="preserve">Les économistes de la firme </w:t>
      </w:r>
      <w:proofErr w:type="spellStart"/>
      <w:r w:rsidRPr="00631583">
        <w:rPr>
          <w:rFonts w:ascii="Century Gothic" w:eastAsia="Century Gothic" w:hAnsi="Century Gothic" w:cs="Century Gothic"/>
          <w:sz w:val="20"/>
          <w:szCs w:val="20"/>
        </w:rPr>
        <w:t>AppEco</w:t>
      </w:r>
      <w:proofErr w:type="spellEnd"/>
      <w:r w:rsidRPr="00631583">
        <w:rPr>
          <w:rFonts w:ascii="Century Gothic" w:eastAsia="Century Gothic" w:hAnsi="Century Gothic" w:cs="Century Gothic"/>
          <w:sz w:val="20"/>
          <w:szCs w:val="20"/>
        </w:rPr>
        <w:t xml:space="preserve"> ont conclu que </w:t>
      </w:r>
      <w:r w:rsidR="005A7337" w:rsidRPr="00631583">
        <w:rPr>
          <w:rFonts w:ascii="Century Gothic" w:eastAsia="Century Gothic" w:hAnsi="Century Gothic" w:cs="Century Gothic"/>
          <w:sz w:val="20"/>
          <w:szCs w:val="20"/>
        </w:rPr>
        <w:t>pour 100 millions $ investis</w:t>
      </w:r>
      <w:r w:rsidRPr="00631583">
        <w:rPr>
          <w:rFonts w:ascii="Century Gothic" w:eastAsia="Century Gothic" w:hAnsi="Century Gothic" w:cs="Century Gothic"/>
          <w:sz w:val="20"/>
          <w:szCs w:val="20"/>
        </w:rPr>
        <w:t xml:space="preserve"> dans le milieu communautaire</w:t>
      </w:r>
      <w:r w:rsidR="005A7337" w:rsidRPr="00631583">
        <w:rPr>
          <w:rFonts w:ascii="Century Gothic" w:eastAsia="Century Gothic" w:hAnsi="Century Gothic" w:cs="Century Gothic"/>
          <w:sz w:val="20"/>
          <w:szCs w:val="20"/>
        </w:rPr>
        <w:t xml:space="preserve">, </w:t>
      </w:r>
      <w:r w:rsidR="00571F9C">
        <w:rPr>
          <w:rFonts w:ascii="Century Gothic" w:eastAsia="Century Gothic" w:hAnsi="Century Gothic" w:cs="Century Gothic"/>
          <w:sz w:val="20"/>
          <w:szCs w:val="20"/>
        </w:rPr>
        <w:t xml:space="preserve">ce sont </w:t>
      </w:r>
      <w:r w:rsidR="005A7337" w:rsidRPr="00631583">
        <w:rPr>
          <w:rFonts w:ascii="Century Gothic" w:eastAsia="Century Gothic" w:hAnsi="Century Gothic" w:cs="Century Gothic"/>
          <w:sz w:val="20"/>
          <w:szCs w:val="20"/>
        </w:rPr>
        <w:t xml:space="preserve">183,7 millions $ </w:t>
      </w:r>
      <w:r w:rsidR="00397DF4">
        <w:rPr>
          <w:rFonts w:ascii="Century Gothic" w:eastAsia="Century Gothic" w:hAnsi="Century Gothic" w:cs="Century Gothic"/>
          <w:sz w:val="20"/>
          <w:szCs w:val="20"/>
        </w:rPr>
        <w:t xml:space="preserve">qui </w:t>
      </w:r>
      <w:r w:rsidR="005A7337" w:rsidRPr="00631583">
        <w:rPr>
          <w:rFonts w:ascii="Century Gothic" w:eastAsia="Century Gothic" w:hAnsi="Century Gothic" w:cs="Century Gothic"/>
          <w:sz w:val="20"/>
          <w:szCs w:val="20"/>
        </w:rPr>
        <w:t>sont réellement injectés dans l’économie, soit 45,2 millions $ supplémentaires en production auprès des fournisseurs, et 38,5 millions $ en dépenses de consommation par les travailleurs. Pour ces mêmes 100 millions $ investis, un PIB de 110 millions $ est généré et 1900 emplois sont maintenus ou créés.</w:t>
      </w:r>
    </w:p>
    <w:p w14:paraId="6BB047D6" w14:textId="00EE259F" w:rsidR="005F68A8" w:rsidRPr="00631583" w:rsidRDefault="005A7337" w:rsidP="00631583">
      <w:pPr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631583">
        <w:rPr>
          <w:rFonts w:ascii="Century Gothic" w:eastAsia="Century Gothic" w:hAnsi="Century Gothic" w:cs="Century Gothic"/>
          <w:sz w:val="20"/>
          <w:szCs w:val="20"/>
        </w:rPr>
        <w:t xml:space="preserve">À titre comparatif, obtenir un impact de cette ampleur </w:t>
      </w:r>
      <w:r w:rsidR="00571F9C">
        <w:rPr>
          <w:rFonts w:ascii="Century Gothic" w:eastAsia="Century Gothic" w:hAnsi="Century Gothic" w:cs="Century Gothic"/>
          <w:sz w:val="20"/>
          <w:szCs w:val="20"/>
        </w:rPr>
        <w:t>pour une</w:t>
      </w:r>
      <w:r w:rsidRPr="00631583">
        <w:rPr>
          <w:rFonts w:ascii="Century Gothic" w:eastAsia="Century Gothic" w:hAnsi="Century Gothic" w:cs="Century Gothic"/>
          <w:sz w:val="20"/>
          <w:szCs w:val="20"/>
        </w:rPr>
        <w:t xml:space="preserve"> dépense </w:t>
      </w:r>
      <w:r w:rsidR="00571F9C">
        <w:rPr>
          <w:rFonts w:ascii="Century Gothic" w:eastAsia="Century Gothic" w:hAnsi="Century Gothic" w:cs="Century Gothic"/>
          <w:sz w:val="20"/>
          <w:szCs w:val="20"/>
        </w:rPr>
        <w:t>équivalente</w:t>
      </w:r>
      <w:r w:rsidR="00571F9C" w:rsidRPr="00631583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 w:rsidRPr="00631583">
        <w:rPr>
          <w:rFonts w:ascii="Century Gothic" w:eastAsia="Century Gothic" w:hAnsi="Century Gothic" w:cs="Century Gothic"/>
          <w:sz w:val="20"/>
          <w:szCs w:val="20"/>
        </w:rPr>
        <w:t xml:space="preserve">dans </w:t>
      </w:r>
      <w:r w:rsidR="00397DF4">
        <w:rPr>
          <w:rFonts w:ascii="Century Gothic" w:eastAsia="Century Gothic" w:hAnsi="Century Gothic" w:cs="Century Gothic"/>
          <w:sz w:val="20"/>
          <w:szCs w:val="20"/>
        </w:rPr>
        <w:t xml:space="preserve">l’ensemble de </w:t>
      </w:r>
      <w:r w:rsidRPr="00631583">
        <w:rPr>
          <w:rFonts w:ascii="Century Gothic" w:eastAsia="Century Gothic" w:hAnsi="Century Gothic" w:cs="Century Gothic"/>
          <w:sz w:val="20"/>
          <w:szCs w:val="20"/>
        </w:rPr>
        <w:t xml:space="preserve">l’économie </w:t>
      </w:r>
      <w:r w:rsidR="00397DF4">
        <w:rPr>
          <w:rFonts w:ascii="Century Gothic" w:eastAsia="Century Gothic" w:hAnsi="Century Gothic" w:cs="Century Gothic"/>
          <w:sz w:val="20"/>
          <w:szCs w:val="20"/>
        </w:rPr>
        <w:t xml:space="preserve">québécoise </w:t>
      </w:r>
      <w:r w:rsidRPr="00631583">
        <w:rPr>
          <w:rFonts w:ascii="Century Gothic" w:eastAsia="Century Gothic" w:hAnsi="Century Gothic" w:cs="Century Gothic"/>
          <w:sz w:val="20"/>
          <w:szCs w:val="20"/>
        </w:rPr>
        <w:t>nécessiterait un montant 17 % plus élevé pour le PIB et 88 % plus élevé pour l’emploi.</w:t>
      </w:r>
    </w:p>
    <w:p w14:paraId="28B6A3E9" w14:textId="6F5BF3AE" w:rsidR="00317FE2" w:rsidRPr="00DB7EFD" w:rsidRDefault="0056376E" w:rsidP="00317FE2">
      <w:pPr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Urgence d’i</w:t>
      </w:r>
      <w:r w:rsidR="00D3492D" w:rsidRPr="003E2B71">
        <w:rPr>
          <w:rFonts w:ascii="Century Gothic" w:eastAsia="Century Gothic" w:hAnsi="Century Gothic" w:cs="Century Gothic"/>
          <w:b/>
          <w:sz w:val="20"/>
          <w:szCs w:val="20"/>
        </w:rPr>
        <w:t>nvestir dans le milieu communautaire</w:t>
      </w:r>
    </w:p>
    <w:p w14:paraId="27FD2115" w14:textId="396FEF1D" w:rsidR="003E2B71" w:rsidRDefault="003E2B71" w:rsidP="00CD3E89">
      <w:pPr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Malgré l</w:t>
      </w:r>
      <w:r w:rsidR="00CD3E89" w:rsidRPr="00CD3E89">
        <w:rPr>
          <w:rFonts w:ascii="Century Gothic" w:eastAsia="Century Gothic" w:hAnsi="Century Gothic" w:cs="Century Gothic"/>
          <w:sz w:val="20"/>
          <w:szCs w:val="20"/>
        </w:rPr>
        <w:t xml:space="preserve">’apport essentiel des </w:t>
      </w:r>
      <w:proofErr w:type="spellStart"/>
      <w:r w:rsidR="00CD3E89" w:rsidRPr="00CD3E89">
        <w:rPr>
          <w:rFonts w:ascii="Century Gothic" w:eastAsia="Century Gothic" w:hAnsi="Century Gothic" w:cs="Century Gothic"/>
          <w:sz w:val="20"/>
          <w:szCs w:val="20"/>
        </w:rPr>
        <w:t>expert</w:t>
      </w:r>
      <w:r w:rsidR="000A60FC">
        <w:rPr>
          <w:rFonts w:ascii="Century Gothic" w:eastAsia="Century Gothic" w:hAnsi="Century Gothic" w:cs="Century Gothic"/>
          <w:sz w:val="20"/>
          <w:szCs w:val="20"/>
        </w:rPr>
        <w:t>s</w:t>
      </w:r>
      <w:r w:rsidR="000A60FC">
        <w:rPr>
          <w:rFonts w:ascii="Arial" w:hAnsi="Arial" w:cs="Arial"/>
          <w:color w:val="4D5156"/>
          <w:sz w:val="21"/>
          <w:szCs w:val="21"/>
          <w:shd w:val="clear" w:color="auto" w:fill="FFFFFF"/>
        </w:rPr>
        <w:t>·</w:t>
      </w:r>
      <w:r w:rsidR="00CD3E89" w:rsidRPr="00CD3E89">
        <w:rPr>
          <w:rFonts w:ascii="Century Gothic" w:eastAsia="Century Gothic" w:hAnsi="Century Gothic" w:cs="Century Gothic"/>
          <w:sz w:val="20"/>
          <w:szCs w:val="20"/>
        </w:rPr>
        <w:t>es</w:t>
      </w:r>
      <w:proofErr w:type="spellEnd"/>
      <w:r w:rsidR="00CD3E89" w:rsidRPr="00CD3E89">
        <w:rPr>
          <w:rFonts w:ascii="Century Gothic" w:eastAsia="Century Gothic" w:hAnsi="Century Gothic" w:cs="Century Gothic"/>
          <w:sz w:val="20"/>
          <w:szCs w:val="20"/>
        </w:rPr>
        <w:t xml:space="preserve"> du milieu communautaire qui, par leurs compétences et leur professionnalisme, pallie</w:t>
      </w:r>
      <w:r w:rsidR="00CD3E89">
        <w:rPr>
          <w:rFonts w:ascii="Century Gothic" w:eastAsia="Century Gothic" w:hAnsi="Century Gothic" w:cs="Century Gothic"/>
          <w:sz w:val="20"/>
          <w:szCs w:val="20"/>
        </w:rPr>
        <w:t>nt</w:t>
      </w:r>
      <w:r w:rsidR="00CD3E89" w:rsidRPr="00CD3E89">
        <w:rPr>
          <w:rFonts w:ascii="Century Gothic" w:eastAsia="Century Gothic" w:hAnsi="Century Gothic" w:cs="Century Gothic"/>
          <w:sz w:val="20"/>
          <w:szCs w:val="20"/>
        </w:rPr>
        <w:t xml:space="preserve"> le manque de ressources </w:t>
      </w:r>
      <w:r w:rsidR="000A60FC">
        <w:rPr>
          <w:rFonts w:ascii="Century Gothic" w:eastAsia="Century Gothic" w:hAnsi="Century Gothic" w:cs="Century Gothic"/>
          <w:sz w:val="20"/>
          <w:szCs w:val="20"/>
        </w:rPr>
        <w:t>financières du gouvernement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le </w:t>
      </w:r>
      <w:r w:rsidRPr="00631583">
        <w:rPr>
          <w:rFonts w:ascii="Century Gothic" w:eastAsia="Century Gothic" w:hAnsi="Century Gothic" w:cs="Century Gothic"/>
          <w:sz w:val="20"/>
          <w:szCs w:val="20"/>
        </w:rPr>
        <w:t>dernier budget du Québec n'a pas répondu aux attentes du m</w:t>
      </w:r>
      <w:r>
        <w:rPr>
          <w:rFonts w:ascii="Century Gothic" w:eastAsia="Century Gothic" w:hAnsi="Century Gothic" w:cs="Century Gothic"/>
          <w:sz w:val="20"/>
          <w:szCs w:val="20"/>
        </w:rPr>
        <w:t>ilieu.</w:t>
      </w:r>
    </w:p>
    <w:p w14:paraId="32C0D69C" w14:textId="03DFDE92" w:rsidR="003E2B71" w:rsidRPr="00631583" w:rsidRDefault="003E2B71" w:rsidP="003E2B71">
      <w:pPr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631583">
        <w:rPr>
          <w:rFonts w:ascii="Century Gothic" w:eastAsia="Century Gothic" w:hAnsi="Century Gothic" w:cs="Century Gothic"/>
          <w:sz w:val="20"/>
          <w:szCs w:val="20"/>
        </w:rPr>
        <w:lastRenderedPageBreak/>
        <w:t xml:space="preserve">Pour réaliser pleinement sa mission, le réseau des CDC a besoin, dès 2022-2023, d’un financement additionnel de </w:t>
      </w:r>
      <w:r w:rsidRPr="00F009C4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8,7 </w:t>
      </w:r>
      <w:r w:rsidR="00397DF4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millions </w:t>
      </w:r>
      <w:r w:rsidRPr="00F009C4">
        <w:rPr>
          <w:rFonts w:ascii="Century Gothic" w:eastAsia="Century Gothic" w:hAnsi="Century Gothic" w:cs="Century Gothic"/>
          <w:b/>
          <w:bCs/>
          <w:sz w:val="20"/>
          <w:szCs w:val="20"/>
        </w:rPr>
        <w:t>$</w:t>
      </w:r>
      <w:r w:rsidRPr="00631583">
        <w:rPr>
          <w:rFonts w:ascii="Century Gothic" w:eastAsia="Century Gothic" w:hAnsi="Century Gothic" w:cs="Century Gothic"/>
          <w:sz w:val="20"/>
          <w:szCs w:val="20"/>
        </w:rPr>
        <w:t xml:space="preserve">. Un tel montant permettrait aux CDC </w:t>
      </w:r>
      <w:r w:rsidR="000A60FC">
        <w:rPr>
          <w:rFonts w:ascii="Century Gothic" w:eastAsia="Century Gothic" w:hAnsi="Century Gothic" w:cs="Century Gothic"/>
          <w:sz w:val="20"/>
          <w:szCs w:val="20"/>
        </w:rPr>
        <w:t xml:space="preserve">non seulement </w:t>
      </w:r>
      <w:r w:rsidRPr="00631583">
        <w:rPr>
          <w:rFonts w:ascii="Century Gothic" w:eastAsia="Century Gothic" w:hAnsi="Century Gothic" w:cs="Century Gothic"/>
          <w:sz w:val="20"/>
          <w:szCs w:val="20"/>
        </w:rPr>
        <w:t xml:space="preserve">de rattraper le manque à gagner des 20 dernières années, </w:t>
      </w:r>
      <w:r w:rsidR="00397DF4">
        <w:rPr>
          <w:rFonts w:ascii="Century Gothic" w:eastAsia="Century Gothic" w:hAnsi="Century Gothic" w:cs="Century Gothic"/>
          <w:sz w:val="20"/>
          <w:szCs w:val="20"/>
        </w:rPr>
        <w:t xml:space="preserve">mais aussi </w:t>
      </w:r>
      <w:r w:rsidRPr="00631583">
        <w:rPr>
          <w:rFonts w:ascii="Century Gothic" w:eastAsia="Century Gothic" w:hAnsi="Century Gothic" w:cs="Century Gothic"/>
          <w:sz w:val="20"/>
          <w:szCs w:val="20"/>
        </w:rPr>
        <w:t>de bonifier leurs interventions dans les communautés et de répondre à la hausse des besoins, en misant chacune sur une équipe de trois personnes à temps complet.</w:t>
      </w:r>
      <w:r w:rsidR="00CD5047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 w:rsidR="00A16805" w:rsidRPr="00A16805">
        <w:rPr>
          <w:rFonts w:ascii="Century Gothic" w:eastAsia="Century Gothic" w:hAnsi="Century Gothic" w:cs="Century Gothic"/>
          <w:sz w:val="20"/>
          <w:szCs w:val="20"/>
        </w:rPr>
        <w:t xml:space="preserve">De plus, </w:t>
      </w:r>
      <w:r w:rsidR="00A16805">
        <w:rPr>
          <w:rFonts w:ascii="Century Gothic" w:eastAsia="Century Gothic" w:hAnsi="Century Gothic" w:cs="Century Gothic"/>
          <w:sz w:val="20"/>
          <w:szCs w:val="20"/>
        </w:rPr>
        <w:t>la</w:t>
      </w:r>
      <w:r w:rsidR="00A16805" w:rsidRPr="00A16805">
        <w:rPr>
          <w:rFonts w:ascii="Century Gothic" w:eastAsia="Century Gothic" w:hAnsi="Century Gothic" w:cs="Century Gothic"/>
          <w:sz w:val="20"/>
          <w:szCs w:val="20"/>
        </w:rPr>
        <w:t xml:space="preserve"> bonification du financement permettrait un rehaussement des conditions salariales et </w:t>
      </w:r>
      <w:r w:rsidR="00A16805">
        <w:rPr>
          <w:rFonts w:ascii="Century Gothic" w:eastAsia="Century Gothic" w:hAnsi="Century Gothic" w:cs="Century Gothic"/>
          <w:sz w:val="20"/>
          <w:szCs w:val="20"/>
        </w:rPr>
        <w:t>contribu</w:t>
      </w:r>
      <w:r w:rsidR="00664150">
        <w:rPr>
          <w:rFonts w:ascii="Century Gothic" w:eastAsia="Century Gothic" w:hAnsi="Century Gothic" w:cs="Century Gothic"/>
          <w:sz w:val="20"/>
          <w:szCs w:val="20"/>
        </w:rPr>
        <w:t>e</w:t>
      </w:r>
      <w:r w:rsidR="00A16805">
        <w:rPr>
          <w:rFonts w:ascii="Century Gothic" w:eastAsia="Century Gothic" w:hAnsi="Century Gothic" w:cs="Century Gothic"/>
          <w:sz w:val="20"/>
          <w:szCs w:val="20"/>
        </w:rPr>
        <w:t xml:space="preserve">rait à une meilleure rétention des </w:t>
      </w:r>
      <w:proofErr w:type="spellStart"/>
      <w:r w:rsidR="00A16805">
        <w:rPr>
          <w:rFonts w:ascii="Century Gothic" w:eastAsia="Century Gothic" w:hAnsi="Century Gothic" w:cs="Century Gothic"/>
          <w:sz w:val="20"/>
          <w:szCs w:val="20"/>
        </w:rPr>
        <w:t>professionnel</w:t>
      </w:r>
      <w:r w:rsidR="000A60FC">
        <w:rPr>
          <w:rFonts w:ascii="Century Gothic" w:eastAsia="Century Gothic" w:hAnsi="Century Gothic" w:cs="Century Gothic"/>
          <w:sz w:val="20"/>
          <w:szCs w:val="20"/>
        </w:rPr>
        <w:t>s</w:t>
      </w:r>
      <w:r w:rsidR="000A60FC">
        <w:rPr>
          <w:rFonts w:ascii="Arial" w:hAnsi="Arial" w:cs="Arial"/>
          <w:color w:val="4D5156"/>
          <w:sz w:val="21"/>
          <w:szCs w:val="21"/>
          <w:shd w:val="clear" w:color="auto" w:fill="FFFFFF"/>
        </w:rPr>
        <w:t>·</w:t>
      </w:r>
      <w:r w:rsidR="00A16805">
        <w:rPr>
          <w:rFonts w:ascii="Century Gothic" w:eastAsia="Century Gothic" w:hAnsi="Century Gothic" w:cs="Century Gothic"/>
          <w:sz w:val="20"/>
          <w:szCs w:val="20"/>
        </w:rPr>
        <w:t>les</w:t>
      </w:r>
      <w:proofErr w:type="spellEnd"/>
      <w:r w:rsidR="00664150"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43394E9D" w14:textId="6B1F3D95" w:rsidR="00CD3E89" w:rsidRDefault="003E2B71" w:rsidP="00CD3E89">
      <w:pPr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Par ailleurs, </w:t>
      </w:r>
      <w:r w:rsidR="0056376E">
        <w:rPr>
          <w:rFonts w:ascii="Century Gothic" w:eastAsia="Century Gothic" w:hAnsi="Century Gothic" w:cs="Century Gothic"/>
          <w:sz w:val="20"/>
          <w:szCs w:val="20"/>
        </w:rPr>
        <w:t xml:space="preserve">à la demande de </w:t>
      </w:r>
      <w:r>
        <w:rPr>
          <w:rFonts w:ascii="Century Gothic" w:eastAsia="Century Gothic" w:hAnsi="Century Gothic" w:cs="Century Gothic"/>
          <w:sz w:val="20"/>
          <w:szCs w:val="20"/>
        </w:rPr>
        <w:t>l</w:t>
      </w:r>
      <w:r w:rsidRPr="00631583">
        <w:rPr>
          <w:rFonts w:ascii="Century Gothic" w:eastAsia="Century Gothic" w:hAnsi="Century Gothic" w:cs="Century Gothic"/>
          <w:sz w:val="20"/>
          <w:szCs w:val="20"/>
        </w:rPr>
        <w:t>a TNCDC</w:t>
      </w:r>
      <w:r w:rsidR="0056376E">
        <w:rPr>
          <w:rFonts w:ascii="Century Gothic" w:eastAsia="Century Gothic" w:hAnsi="Century Gothic" w:cs="Century Gothic"/>
          <w:sz w:val="20"/>
          <w:szCs w:val="20"/>
        </w:rPr>
        <w:t xml:space="preserve">, le </w:t>
      </w:r>
      <w:r w:rsidR="0056376E" w:rsidRPr="0056376E">
        <w:rPr>
          <w:rFonts w:ascii="Century Gothic" w:eastAsia="Century Gothic" w:hAnsi="Century Gothic" w:cs="Century Gothic"/>
          <w:sz w:val="20"/>
          <w:szCs w:val="20"/>
        </w:rPr>
        <w:t>Comité sectoriel de main-d’œuvre de l’économie sociale et de l’action communautaire (CSMO-ÉSAC)</w:t>
      </w:r>
      <w:r w:rsidR="0056376E">
        <w:rPr>
          <w:rFonts w:ascii="Century Gothic" w:eastAsia="Century Gothic" w:hAnsi="Century Gothic" w:cs="Century Gothic"/>
          <w:sz w:val="20"/>
          <w:szCs w:val="20"/>
        </w:rPr>
        <w:t xml:space="preserve"> a</w:t>
      </w:r>
      <w:r w:rsidRPr="00631583">
        <w:rPr>
          <w:rFonts w:ascii="Century Gothic" w:eastAsia="Century Gothic" w:hAnsi="Century Gothic" w:cs="Century Gothic"/>
          <w:sz w:val="20"/>
          <w:szCs w:val="20"/>
        </w:rPr>
        <w:t xml:space="preserve"> mené une </w:t>
      </w:r>
      <w:r w:rsidR="00CD3E89" w:rsidRPr="00631583">
        <w:rPr>
          <w:rFonts w:ascii="Century Gothic" w:eastAsia="Century Gothic" w:hAnsi="Century Gothic" w:cs="Century Gothic"/>
          <w:sz w:val="20"/>
          <w:szCs w:val="20"/>
        </w:rPr>
        <w:t xml:space="preserve">étude d’impact social à propos du réseau des CDC en 2020 qui a confirmé qu’elles sont LA référence en matière de développement social. Elles agissent comme des piliers du </w:t>
      </w:r>
      <w:r w:rsidR="00B265A2">
        <w:rPr>
          <w:rFonts w:ascii="Century Gothic" w:eastAsia="Century Gothic" w:hAnsi="Century Gothic" w:cs="Century Gothic"/>
          <w:sz w:val="20"/>
          <w:szCs w:val="20"/>
        </w:rPr>
        <w:t>développement</w:t>
      </w:r>
      <w:r w:rsidR="00CD3E89" w:rsidRPr="00631583">
        <w:rPr>
          <w:rFonts w:ascii="Century Gothic" w:eastAsia="Century Gothic" w:hAnsi="Century Gothic" w:cs="Century Gothic"/>
          <w:sz w:val="20"/>
          <w:szCs w:val="20"/>
        </w:rPr>
        <w:t xml:space="preserve"> communautaire et sont des</w:t>
      </w:r>
      <w:r w:rsidR="00B265A2">
        <w:rPr>
          <w:rFonts w:ascii="Century Gothic" w:eastAsia="Century Gothic" w:hAnsi="Century Gothic" w:cs="Century Gothic"/>
          <w:sz w:val="20"/>
          <w:szCs w:val="20"/>
        </w:rPr>
        <w:t xml:space="preserve"> act</w:t>
      </w:r>
      <w:r w:rsidR="00121E24">
        <w:rPr>
          <w:rFonts w:ascii="Century Gothic" w:eastAsia="Century Gothic" w:hAnsi="Century Gothic" w:cs="Century Gothic"/>
          <w:sz w:val="20"/>
          <w:szCs w:val="20"/>
        </w:rPr>
        <w:t>rice</w:t>
      </w:r>
      <w:r w:rsidR="00B265A2">
        <w:rPr>
          <w:rFonts w:ascii="Century Gothic" w:eastAsia="Century Gothic" w:hAnsi="Century Gothic" w:cs="Century Gothic"/>
          <w:sz w:val="20"/>
          <w:szCs w:val="20"/>
        </w:rPr>
        <w:t>s</w:t>
      </w:r>
      <w:r w:rsidR="00CD3E89" w:rsidRPr="00631583">
        <w:rPr>
          <w:rFonts w:ascii="Century Gothic" w:eastAsia="Century Gothic" w:hAnsi="Century Gothic" w:cs="Century Gothic"/>
          <w:sz w:val="20"/>
          <w:szCs w:val="20"/>
        </w:rPr>
        <w:t xml:space="preserve"> incontournables pour représenter les intérêts du </w:t>
      </w:r>
      <w:r w:rsidR="00121E24">
        <w:rPr>
          <w:rFonts w:ascii="Century Gothic" w:eastAsia="Century Gothic" w:hAnsi="Century Gothic" w:cs="Century Gothic"/>
          <w:sz w:val="20"/>
          <w:szCs w:val="20"/>
        </w:rPr>
        <w:t>milieu</w:t>
      </w:r>
      <w:r w:rsidR="00CD3E89" w:rsidRPr="00631583"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5DE615C1" w14:textId="788AAE83" w:rsidR="006210B9" w:rsidRPr="00635205" w:rsidRDefault="006210B9" w:rsidP="006210B9">
      <w:pPr>
        <w:jc w:val="both"/>
        <w:rPr>
          <w:sz w:val="20"/>
          <w:szCs w:val="20"/>
        </w:rPr>
      </w:pPr>
      <w:r w:rsidRPr="00635205">
        <w:rPr>
          <w:rFonts w:ascii="Century Gothic" w:eastAsia="Century Gothic" w:hAnsi="Century Gothic" w:cs="Century Gothic"/>
          <w:b/>
          <w:bCs/>
          <w:sz w:val="20"/>
          <w:szCs w:val="20"/>
        </w:rPr>
        <w:t>À propos</w:t>
      </w:r>
      <w:r w:rsidRPr="00635205">
        <w:rPr>
          <w:rFonts w:ascii="Century Gothic" w:eastAsia="Century Gothic" w:hAnsi="Century Gothic" w:cs="Century Gothic"/>
          <w:sz w:val="20"/>
          <w:szCs w:val="20"/>
        </w:rPr>
        <w:t xml:space="preserve"> </w:t>
      </w:r>
    </w:p>
    <w:p w14:paraId="5EDD6FDE" w14:textId="099883DA" w:rsidR="006210B9" w:rsidRPr="00635205" w:rsidRDefault="006210B9" w:rsidP="00F6398C">
      <w:pPr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635205">
        <w:rPr>
          <w:rFonts w:ascii="Century Gothic" w:eastAsia="Century Gothic" w:hAnsi="Century Gothic" w:cs="Century Gothic"/>
          <w:sz w:val="20"/>
          <w:szCs w:val="20"/>
        </w:rPr>
        <w:t xml:space="preserve">La TNCDC est un réseau national qui, par son expertise, ses actions et son assise locale, joue un rôle incontournable dans l’amélioration des conditions de vie des communautés et dans </w:t>
      </w:r>
      <w:r w:rsidR="0056376E">
        <w:rPr>
          <w:rFonts w:ascii="Century Gothic" w:eastAsia="Century Gothic" w:hAnsi="Century Gothic" w:cs="Century Gothic"/>
          <w:sz w:val="20"/>
          <w:szCs w:val="20"/>
        </w:rPr>
        <w:t>l’</w:t>
      </w:r>
      <w:r w:rsidRPr="00635205">
        <w:rPr>
          <w:rFonts w:ascii="Century Gothic" w:eastAsia="Century Gothic" w:hAnsi="Century Gothic" w:cs="Century Gothic"/>
          <w:sz w:val="20"/>
          <w:szCs w:val="20"/>
        </w:rPr>
        <w:t>atteinte d’une plus grande justice sociale au Québec.</w:t>
      </w:r>
    </w:p>
    <w:p w14:paraId="701980EC" w14:textId="7A235B71" w:rsidR="006210B9" w:rsidRPr="00635205" w:rsidRDefault="00BA6B97" w:rsidP="00F6398C">
      <w:pPr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Regroupant 67</w:t>
      </w:r>
      <w:r w:rsidR="006210B9" w:rsidRPr="00635205">
        <w:rPr>
          <w:rFonts w:ascii="Century Gothic" w:eastAsia="Century Gothic" w:hAnsi="Century Gothic" w:cs="Century Gothic"/>
          <w:sz w:val="20"/>
          <w:szCs w:val="20"/>
        </w:rPr>
        <w:t xml:space="preserve"> Corporations de développement communautaire (CDC) </w:t>
      </w:r>
      <w:r w:rsidR="00F6398C">
        <w:rPr>
          <w:rFonts w:ascii="Century Gothic" w:eastAsia="Century Gothic" w:hAnsi="Century Gothic" w:cs="Century Gothic"/>
          <w:sz w:val="20"/>
          <w:szCs w:val="20"/>
        </w:rPr>
        <w:t>ancrées dans 1</w:t>
      </w:r>
      <w:r w:rsidR="00571F9C">
        <w:rPr>
          <w:rFonts w:ascii="Century Gothic" w:eastAsia="Century Gothic" w:hAnsi="Century Gothic" w:cs="Century Gothic"/>
          <w:sz w:val="20"/>
          <w:szCs w:val="20"/>
        </w:rPr>
        <w:t>5</w:t>
      </w:r>
      <w:r w:rsidR="00F6398C">
        <w:rPr>
          <w:rFonts w:ascii="Century Gothic" w:eastAsia="Century Gothic" w:hAnsi="Century Gothic" w:cs="Century Gothic"/>
          <w:sz w:val="20"/>
          <w:szCs w:val="20"/>
        </w:rPr>
        <w:t xml:space="preserve"> région</w:t>
      </w:r>
      <w:r w:rsidR="003E2B71">
        <w:rPr>
          <w:rFonts w:ascii="Century Gothic" w:eastAsia="Century Gothic" w:hAnsi="Century Gothic" w:cs="Century Gothic"/>
          <w:sz w:val="20"/>
          <w:szCs w:val="20"/>
        </w:rPr>
        <w:t>s</w:t>
      </w:r>
      <w:r w:rsidR="00F6398C"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 w:rsidR="006210B9" w:rsidRPr="00635205">
        <w:rPr>
          <w:rFonts w:ascii="Century Gothic" w:eastAsia="Century Gothic" w:hAnsi="Century Gothic" w:cs="Century Gothic"/>
          <w:sz w:val="20"/>
          <w:szCs w:val="20"/>
        </w:rPr>
        <w:t>et rassemblant plus de 2 500 organismes communautaires partout sur le territoire québécois, le réseau et ses membres interviennent dans une multitude de domaines, principalement la lutte contre la pauvreté et l’</w:t>
      </w:r>
      <w:r w:rsidR="00571F9C">
        <w:rPr>
          <w:rFonts w:ascii="Century Gothic" w:eastAsia="Century Gothic" w:hAnsi="Century Gothic" w:cs="Century Gothic"/>
          <w:sz w:val="20"/>
          <w:szCs w:val="20"/>
        </w:rPr>
        <w:t>e</w:t>
      </w:r>
      <w:r w:rsidR="006210B9" w:rsidRPr="00635205">
        <w:rPr>
          <w:rFonts w:ascii="Century Gothic" w:eastAsia="Century Gothic" w:hAnsi="Century Gothic" w:cs="Century Gothic"/>
          <w:sz w:val="20"/>
          <w:szCs w:val="20"/>
        </w:rPr>
        <w:t>xclusion sociale, la santé, l’éducation, l’emploi, la défense des droits ainsi que le logement.</w:t>
      </w:r>
    </w:p>
    <w:p w14:paraId="5DDB8C3D" w14:textId="17F5F503" w:rsidR="702D032B" w:rsidRPr="006210B9" w:rsidRDefault="006210B9" w:rsidP="006210B9">
      <w:pPr>
        <w:jc w:val="center"/>
        <w:rPr>
          <w:sz w:val="20"/>
          <w:szCs w:val="20"/>
        </w:rPr>
      </w:pPr>
      <w:r w:rsidRPr="00635205">
        <w:rPr>
          <w:rFonts w:ascii="Century Gothic" w:eastAsia="Century Gothic" w:hAnsi="Century Gothic" w:cs="Century Gothic"/>
          <w:sz w:val="20"/>
          <w:szCs w:val="20"/>
        </w:rPr>
        <w:t xml:space="preserve">- 30 - </w:t>
      </w:r>
    </w:p>
    <w:p w14:paraId="6FCCB7E4" w14:textId="77777777" w:rsidR="0003384A" w:rsidRDefault="0003384A" w:rsidP="0003384A">
      <w:pPr>
        <w:spacing w:after="0" w:line="240" w:lineRule="auto"/>
        <w:rPr>
          <w:rFonts w:ascii="Century Gothic" w:eastAsia="Century Gothic" w:hAnsi="Century Gothic" w:cs="Century Gothic"/>
          <w:b/>
          <w:bCs/>
          <w:sz w:val="21"/>
          <w:szCs w:val="21"/>
        </w:rPr>
      </w:pPr>
    </w:p>
    <w:p w14:paraId="0821AA71" w14:textId="77777777" w:rsidR="00CB1022" w:rsidRDefault="00CB1022" w:rsidP="0003384A">
      <w:pPr>
        <w:spacing w:after="0" w:line="240" w:lineRule="auto"/>
        <w:rPr>
          <w:rFonts w:ascii="Century Gothic" w:eastAsia="Century Gothic" w:hAnsi="Century Gothic" w:cs="Century Gothic"/>
          <w:b/>
          <w:bCs/>
          <w:sz w:val="20"/>
          <w:szCs w:val="21"/>
        </w:rPr>
        <w:sectPr w:rsidR="00CB1022" w:rsidSect="007313F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080" w:bottom="1440" w:left="1080" w:header="708" w:footer="231" w:gutter="0"/>
          <w:cols w:space="708"/>
          <w:docGrid w:linePitch="360"/>
        </w:sectPr>
      </w:pPr>
    </w:p>
    <w:p w14:paraId="229268AA" w14:textId="580D0FBD" w:rsidR="0003384A" w:rsidRPr="00CB1022" w:rsidRDefault="00206C9E" w:rsidP="0003384A">
      <w:pPr>
        <w:spacing w:after="0" w:line="240" w:lineRule="auto"/>
        <w:rPr>
          <w:rFonts w:ascii="Century Gothic" w:eastAsia="Century Gothic" w:hAnsi="Century Gothic" w:cs="Century Gothic"/>
          <w:b/>
          <w:bCs/>
          <w:sz w:val="20"/>
          <w:szCs w:val="21"/>
        </w:rPr>
      </w:pPr>
      <w:r w:rsidRPr="00CB1022">
        <w:rPr>
          <w:rFonts w:ascii="Century Gothic" w:eastAsia="Century Gothic" w:hAnsi="Century Gothic" w:cs="Century Gothic"/>
          <w:b/>
          <w:bCs/>
          <w:sz w:val="20"/>
          <w:szCs w:val="21"/>
        </w:rPr>
        <w:t>Pour tout renseignement :</w:t>
      </w:r>
    </w:p>
    <w:p w14:paraId="62CBA5F5" w14:textId="1634F87D" w:rsidR="702D032B" w:rsidRPr="00BF0FF1" w:rsidRDefault="007313FC" w:rsidP="0003384A">
      <w:pPr>
        <w:spacing w:after="0" w:line="240" w:lineRule="auto"/>
        <w:rPr>
          <w:rFonts w:ascii="Century Gothic" w:eastAsia="Century Gothic" w:hAnsi="Century Gothic" w:cs="Century Gothic"/>
          <w:sz w:val="20"/>
          <w:szCs w:val="21"/>
        </w:rPr>
      </w:pPr>
      <w:r w:rsidRPr="00A55FED">
        <w:rPr>
          <w:rFonts w:ascii="Century Gothic" w:eastAsia="Century Gothic" w:hAnsi="Century Gothic" w:cs="Century Gothic"/>
          <w:sz w:val="20"/>
          <w:szCs w:val="21"/>
        </w:rPr>
        <w:t>Mar</w:t>
      </w:r>
      <w:r w:rsidR="00BF0FF1" w:rsidRPr="00A55FED">
        <w:rPr>
          <w:rFonts w:ascii="Century Gothic" w:eastAsia="Century Gothic" w:hAnsi="Century Gothic" w:cs="Century Gothic"/>
          <w:sz w:val="20"/>
          <w:szCs w:val="21"/>
        </w:rPr>
        <w:t>jolaine Cloutier, conseillère stratégique</w:t>
      </w:r>
      <w:r w:rsidR="702D032B" w:rsidRPr="00A55FED">
        <w:rPr>
          <w:sz w:val="20"/>
          <w:szCs w:val="21"/>
        </w:rPr>
        <w:br/>
      </w:r>
      <w:r w:rsidR="27342481" w:rsidRPr="00A55FED">
        <w:rPr>
          <w:rFonts w:ascii="Century Gothic" w:eastAsia="Century Gothic" w:hAnsi="Century Gothic" w:cs="Century Gothic"/>
          <w:sz w:val="20"/>
          <w:szCs w:val="21"/>
        </w:rPr>
        <w:t>TNCDC</w:t>
      </w:r>
      <w:r w:rsidR="702D032B" w:rsidRPr="00A55FED">
        <w:rPr>
          <w:sz w:val="20"/>
          <w:szCs w:val="21"/>
        </w:rPr>
        <w:br/>
      </w:r>
      <w:r w:rsidRPr="00A55FED">
        <w:rPr>
          <w:rFonts w:ascii="Century Gothic" w:eastAsia="Century Gothic" w:hAnsi="Century Gothic" w:cs="Century Gothic"/>
          <w:sz w:val="20"/>
          <w:szCs w:val="21"/>
        </w:rPr>
        <w:t>819</w:t>
      </w:r>
      <w:r w:rsidR="00D1360E">
        <w:rPr>
          <w:rFonts w:ascii="Century Gothic" w:eastAsia="Century Gothic" w:hAnsi="Century Gothic" w:cs="Century Gothic"/>
          <w:sz w:val="20"/>
          <w:szCs w:val="21"/>
        </w:rPr>
        <w:t xml:space="preserve"> </w:t>
      </w:r>
      <w:r w:rsidR="00A55FED" w:rsidRPr="00A55FED">
        <w:rPr>
          <w:rFonts w:ascii="Century Gothic" w:eastAsia="Century Gothic" w:hAnsi="Century Gothic" w:cs="Century Gothic"/>
          <w:sz w:val="20"/>
          <w:szCs w:val="21"/>
        </w:rPr>
        <w:t>692</w:t>
      </w:r>
      <w:r w:rsidRPr="00A55FED">
        <w:rPr>
          <w:rFonts w:ascii="Century Gothic" w:eastAsia="Century Gothic" w:hAnsi="Century Gothic" w:cs="Century Gothic"/>
          <w:sz w:val="20"/>
          <w:szCs w:val="21"/>
        </w:rPr>
        <w:t>-</w:t>
      </w:r>
      <w:r w:rsidR="00A55FED" w:rsidRPr="00A55FED">
        <w:rPr>
          <w:rFonts w:ascii="Century Gothic" w:eastAsia="Century Gothic" w:hAnsi="Century Gothic" w:cs="Century Gothic"/>
          <w:sz w:val="20"/>
          <w:szCs w:val="21"/>
        </w:rPr>
        <w:t>0580</w:t>
      </w:r>
      <w:r w:rsidR="002326F1">
        <w:rPr>
          <w:rFonts w:ascii="Century Gothic" w:eastAsia="Century Gothic" w:hAnsi="Century Gothic" w:cs="Century Gothic"/>
          <w:sz w:val="20"/>
          <w:szCs w:val="21"/>
        </w:rPr>
        <w:t xml:space="preserve"> </w:t>
      </w:r>
    </w:p>
    <w:p w14:paraId="533EA9F3" w14:textId="0945BB99" w:rsidR="007313FC" w:rsidRPr="00CB1022" w:rsidRDefault="00BF0FF1" w:rsidP="0003384A">
      <w:pPr>
        <w:spacing w:after="0" w:line="240" w:lineRule="auto"/>
        <w:rPr>
          <w:rFonts w:ascii="Century Gothic" w:eastAsia="Century Gothic" w:hAnsi="Century Gothic" w:cs="Century Gothic"/>
          <w:sz w:val="20"/>
          <w:szCs w:val="21"/>
        </w:rPr>
      </w:pPr>
      <w:r w:rsidRPr="00BF0FF1">
        <w:rPr>
          <w:rFonts w:ascii="Century Gothic" w:eastAsia="Century Gothic" w:hAnsi="Century Gothic" w:cs="Century Gothic"/>
          <w:sz w:val="20"/>
          <w:szCs w:val="21"/>
        </w:rPr>
        <w:t>conseil</w:t>
      </w:r>
      <w:r w:rsidR="007313FC" w:rsidRPr="00BF0FF1">
        <w:rPr>
          <w:rFonts w:ascii="Century Gothic" w:eastAsia="Century Gothic" w:hAnsi="Century Gothic" w:cs="Century Gothic"/>
          <w:sz w:val="20"/>
          <w:szCs w:val="21"/>
        </w:rPr>
        <w:t>@tncdc.qc.ca</w:t>
      </w:r>
    </w:p>
    <w:p w14:paraId="400DA6E8" w14:textId="2EA24775" w:rsidR="702D032B" w:rsidRDefault="702D032B" w:rsidP="0003384A">
      <w:pPr>
        <w:spacing w:after="0" w:line="240" w:lineRule="auto"/>
        <w:rPr>
          <w:sz w:val="20"/>
          <w:szCs w:val="21"/>
        </w:rPr>
      </w:pPr>
    </w:p>
    <w:p w14:paraId="6FFAACCF" w14:textId="168519B6" w:rsidR="702D032B" w:rsidRPr="00CB1022" w:rsidRDefault="702D032B" w:rsidP="0003384A">
      <w:pPr>
        <w:spacing w:after="0" w:line="240" w:lineRule="auto"/>
        <w:rPr>
          <w:rFonts w:ascii="Century Gothic" w:eastAsia="Century Gothic" w:hAnsi="Century Gothic" w:cs="Century Gothic"/>
          <w:sz w:val="20"/>
          <w:szCs w:val="21"/>
        </w:rPr>
      </w:pPr>
    </w:p>
    <w:sectPr w:rsidR="702D032B" w:rsidRPr="00CB1022" w:rsidSect="00CB1022">
      <w:type w:val="continuous"/>
      <w:pgSz w:w="12240" w:h="15840"/>
      <w:pgMar w:top="1440" w:right="1080" w:bottom="1440" w:left="1080" w:header="708" w:footer="231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55286" w14:textId="77777777" w:rsidR="001547D0" w:rsidRDefault="001547D0" w:rsidP="00875B93">
      <w:pPr>
        <w:spacing w:after="0" w:line="240" w:lineRule="auto"/>
      </w:pPr>
      <w:r>
        <w:separator/>
      </w:r>
    </w:p>
  </w:endnote>
  <w:endnote w:type="continuationSeparator" w:id="0">
    <w:p w14:paraId="62F84D53" w14:textId="77777777" w:rsidR="001547D0" w:rsidRDefault="001547D0" w:rsidP="00875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C4F16B-ED43-4A9C-8F6F-B03EC675D125}"/>
    <w:embedBold r:id="rId2" w:fontKey="{05614631-817C-42EB-9F90-0B78F5DD6524}"/>
    <w:embedItalic r:id="rId3" w:fontKey="{BEF043E1-A35A-4D36-9D03-29D335210026}"/>
  </w:font>
  <w:font w:name="Bebas Neue Pro">
    <w:altName w:val="Calibri"/>
    <w:panose1 w:val="00000000000000000000"/>
    <w:charset w:val="00"/>
    <w:family w:val="swiss"/>
    <w:notTrueType/>
    <w:pitch w:val="variable"/>
    <w:sig w:usb0="00000207" w:usb1="00000001" w:usb2="00000000" w:usb3="00000000" w:csb0="00000097" w:csb1="00000000"/>
  </w:font>
  <w:font w:name="Bebas Neue">
    <w:altName w:val="Calibri"/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4" w:fontKey="{540DFC4A-D7F1-4C2B-BADF-1E07025BCAC5}"/>
    <w:embedBold r:id="rId5" w:fontKey="{F1F10970-9625-4C4E-9060-DB1181FDF39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185E73EA-CA70-49C4-94E7-8AA21174C798}"/>
    <w:embedBold r:id="rId7" w:fontKey="{8DEB43EB-ED60-4F97-8BA1-5E6CAF45F6C0}"/>
    <w:embedBoldItalic r:id="rId8" w:fontKey="{B188F472-2310-4705-BCDC-6FC241A225A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F25E72DD-3E7F-432D-AE3B-60081F6932DB}"/>
  </w:font>
  <w:font w:name="Bebas Neue Pro Middle">
    <w:altName w:val="Calibri"/>
    <w:panose1 w:val="00000000000000000000"/>
    <w:charset w:val="00"/>
    <w:family w:val="swiss"/>
    <w:notTrueType/>
    <w:pitch w:val="variable"/>
    <w:sig w:usb0="00000207" w:usb1="00000001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158C962-BC26-43FC-9CAC-C1900FDEE9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30F81" w14:textId="77777777" w:rsidR="00571F9C" w:rsidRDefault="00571F9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FFFFFF" w:themeColor="background1"/>
      </w:rPr>
      <w:id w:val="714705527"/>
      <w:docPartObj>
        <w:docPartGallery w:val="Page Numbers (Bottom of Page)"/>
        <w:docPartUnique/>
      </w:docPartObj>
    </w:sdtPr>
    <w:sdtEndPr/>
    <w:sdtContent>
      <w:sdt>
        <w:sdtPr>
          <w:rPr>
            <w:color w:val="FFFFFF" w:themeColor="background1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499413B" w14:textId="2D31C661" w:rsidR="007313FC" w:rsidRPr="007313FC" w:rsidRDefault="00571F9C">
            <w:pPr>
              <w:pStyle w:val="Pieddepage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637D503" wp14:editId="3223C411">
                      <wp:simplePos x="0" y="0"/>
                      <wp:positionH relativeFrom="column">
                        <wp:posOffset>5257800</wp:posOffset>
                      </wp:positionH>
                      <wp:positionV relativeFrom="paragraph">
                        <wp:posOffset>-115827</wp:posOffset>
                      </wp:positionV>
                      <wp:extent cx="1364776" cy="525439"/>
                      <wp:effectExtent l="0" t="0" r="0" b="0"/>
                      <wp:wrapNone/>
                      <wp:docPr id="24" name="Zone de text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4776" cy="52543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E30BB4" w14:textId="5047513D" w:rsidR="00C00AFB" w:rsidRPr="00C00AFB" w:rsidRDefault="002B4E27" w:rsidP="00C00AFB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hyperlink r:id="rId1" w:history="1">
                                    <w:r w:rsidR="00C00AFB" w:rsidRPr="00C00AFB">
                                      <w:rPr>
                                        <w:rStyle w:val="Lienhypertexte"/>
                                        <w:rFonts w:ascii="Bebas Neue Pro Middle" w:hAnsi="Bebas Neue Pro Middle"/>
                                        <w:color w:val="FFFFFF" w:themeColor="background1"/>
                                        <w:szCs w:val="24"/>
                                        <w:u w:val="none"/>
                                      </w:rPr>
                                      <w:t xml:space="preserve">@TNCDC    </w:t>
                                    </w:r>
                                  </w:hyperlink>
                                  <w:r w:rsidR="00C00AFB" w:rsidRPr="00C00AFB">
                                    <w:rPr>
                                      <w:rFonts w:ascii="Bebas Neue Pro Middle" w:hAnsi="Bebas Neue Pro Middle"/>
                                      <w:color w:val="FFFFFF" w:themeColor="background1"/>
                                      <w:szCs w:val="24"/>
                                    </w:rPr>
                                    <w:t xml:space="preserve"> |     </w:t>
                                  </w:r>
                                  <w:hyperlink r:id="rId2" w:history="1">
                                    <w:r w:rsidR="00C00AFB" w:rsidRPr="00C00AFB">
                                      <w:rPr>
                                        <w:rStyle w:val="Lienhypertexte"/>
                                        <w:rFonts w:ascii="Bebas Neue Pro Middle" w:hAnsi="Bebas Neue Pro Middle"/>
                                        <w:color w:val="FFFFFF" w:themeColor="background1"/>
                                        <w:szCs w:val="24"/>
                                        <w:u w:val="none"/>
                                      </w:rPr>
                                      <w:t>TNCDC.COM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37D5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4" o:spid="_x0000_s1027" type="#_x0000_t202" style="position:absolute;margin-left:414pt;margin-top:-9.1pt;width:107.45pt;height:4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" filled="f" stroked="f" strokeweight=".5pt">
                      <v:textbox>
                        <w:txbxContent>
                          <w:p w14:paraId="4EE30BB4" w14:textId="5047513D" w:rsidR="00C00AFB" w:rsidRPr="00C00AFB" w:rsidRDefault="002B4E27" w:rsidP="00C00AFB">
                            <w:pPr>
                              <w:rPr>
                                <w:color w:val="FFFFFF" w:themeColor="background1"/>
                              </w:rPr>
                            </w:pPr>
                            <w:hyperlink r:id="rId3" w:history="1">
                              <w:r w:rsidR="00C00AFB" w:rsidRPr="00C00AFB">
                                <w:rPr>
                                  <w:rStyle w:val="Lienhypertexte"/>
                                  <w:rFonts w:ascii="Bebas Neue Pro Middle" w:hAnsi="Bebas Neue Pro Middle"/>
                                  <w:color w:val="FFFFFF" w:themeColor="background1"/>
                                  <w:szCs w:val="24"/>
                                  <w:u w:val="none"/>
                                </w:rPr>
                                <w:t xml:space="preserve">@TNCDC    </w:t>
                              </w:r>
                            </w:hyperlink>
                            <w:r w:rsidR="00C00AFB" w:rsidRPr="00C00AFB">
                              <w:rPr>
                                <w:rFonts w:ascii="Bebas Neue Pro Middle" w:hAnsi="Bebas Neue Pro Middle"/>
                                <w:color w:val="FFFFFF" w:themeColor="background1"/>
                                <w:szCs w:val="24"/>
                              </w:rPr>
                              <w:t xml:space="preserve"> |     </w:t>
                            </w:r>
                            <w:hyperlink r:id="rId4" w:history="1">
                              <w:r w:rsidR="00C00AFB" w:rsidRPr="00C00AFB">
                                <w:rPr>
                                  <w:rStyle w:val="Lienhypertexte"/>
                                  <w:rFonts w:ascii="Bebas Neue Pro Middle" w:hAnsi="Bebas Neue Pro Middle"/>
                                  <w:color w:val="FFFFFF" w:themeColor="background1"/>
                                  <w:szCs w:val="24"/>
                                  <w:u w:val="none"/>
                                </w:rPr>
                                <w:t>TNCDC.COM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00AFB">
              <w:rPr>
                <w:noProof/>
                <w:lang w:eastAsia="fr-CA"/>
              </w:rPr>
              <w:drawing>
                <wp:anchor distT="0" distB="0" distL="114300" distR="114300" simplePos="0" relativeHeight="251661312" behindDoc="0" locked="0" layoutInCell="1" allowOverlap="1" wp14:anchorId="308BD573" wp14:editId="6575B5C4">
                  <wp:simplePos x="0" y="0"/>
                  <wp:positionH relativeFrom="margin">
                    <wp:posOffset>4433665</wp:posOffset>
                  </wp:positionH>
                  <wp:positionV relativeFrom="margin">
                    <wp:posOffset>7875905</wp:posOffset>
                  </wp:positionV>
                  <wp:extent cx="737235" cy="209550"/>
                  <wp:effectExtent l="0" t="0" r="5715" b="0"/>
                  <wp:wrapSquare wrapText="bothSides"/>
                  <wp:docPr id="17" name="Image 17" descr="facebook-twitter-linkedin-icon-18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cebook-twitter-linkedin-icon-18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13FC" w:rsidRPr="007313FC">
              <w:rPr>
                <w:color w:val="FFFFFF" w:themeColor="background1"/>
                <w:lang w:val="fr-FR"/>
              </w:rPr>
              <w:t xml:space="preserve">Page </w:t>
            </w:r>
            <w:r w:rsidR="007313FC" w:rsidRPr="007313FC">
              <w:rPr>
                <w:b/>
                <w:bCs/>
                <w:color w:val="FFFFFF" w:themeColor="background1"/>
                <w:szCs w:val="24"/>
              </w:rPr>
              <w:fldChar w:fldCharType="begin"/>
            </w:r>
            <w:r w:rsidR="007313FC" w:rsidRPr="007313FC">
              <w:rPr>
                <w:b/>
                <w:bCs/>
                <w:color w:val="FFFFFF" w:themeColor="background1"/>
              </w:rPr>
              <w:instrText>PAGE</w:instrText>
            </w:r>
            <w:r w:rsidR="007313FC" w:rsidRPr="007313FC">
              <w:rPr>
                <w:b/>
                <w:bCs/>
                <w:color w:val="FFFFFF" w:themeColor="background1"/>
                <w:szCs w:val="24"/>
              </w:rPr>
              <w:fldChar w:fldCharType="separate"/>
            </w:r>
            <w:r w:rsidR="00146F9B">
              <w:rPr>
                <w:b/>
                <w:bCs/>
                <w:noProof/>
                <w:color w:val="FFFFFF" w:themeColor="background1"/>
              </w:rPr>
              <w:t>2</w:t>
            </w:r>
            <w:r w:rsidR="007313FC" w:rsidRPr="007313FC">
              <w:rPr>
                <w:b/>
                <w:bCs/>
                <w:color w:val="FFFFFF" w:themeColor="background1"/>
                <w:szCs w:val="24"/>
              </w:rPr>
              <w:fldChar w:fldCharType="end"/>
            </w:r>
            <w:r w:rsidR="007313FC" w:rsidRPr="007313FC">
              <w:rPr>
                <w:color w:val="FFFFFF" w:themeColor="background1"/>
                <w:lang w:val="fr-FR"/>
              </w:rPr>
              <w:t xml:space="preserve"> sur </w:t>
            </w:r>
            <w:r w:rsidR="007313FC" w:rsidRPr="007313FC">
              <w:rPr>
                <w:b/>
                <w:bCs/>
                <w:color w:val="FFFFFF" w:themeColor="background1"/>
                <w:szCs w:val="24"/>
              </w:rPr>
              <w:fldChar w:fldCharType="begin"/>
            </w:r>
            <w:r w:rsidR="007313FC" w:rsidRPr="007313FC">
              <w:rPr>
                <w:b/>
                <w:bCs/>
                <w:color w:val="FFFFFF" w:themeColor="background1"/>
              </w:rPr>
              <w:instrText>NUMPAGES</w:instrText>
            </w:r>
            <w:r w:rsidR="007313FC" w:rsidRPr="007313FC">
              <w:rPr>
                <w:b/>
                <w:bCs/>
                <w:color w:val="FFFFFF" w:themeColor="background1"/>
                <w:szCs w:val="24"/>
              </w:rPr>
              <w:fldChar w:fldCharType="separate"/>
            </w:r>
            <w:r w:rsidR="00146F9B">
              <w:rPr>
                <w:b/>
                <w:bCs/>
                <w:noProof/>
                <w:color w:val="FFFFFF" w:themeColor="background1"/>
              </w:rPr>
              <w:t>2</w:t>
            </w:r>
            <w:r w:rsidR="007313FC" w:rsidRPr="007313FC">
              <w:rPr>
                <w:b/>
                <w:bCs/>
                <w:color w:val="FFFFFF" w:themeColor="background1"/>
                <w:szCs w:val="24"/>
              </w:rPr>
              <w:fldChar w:fldCharType="end"/>
            </w:r>
          </w:p>
        </w:sdtContent>
      </w:sdt>
    </w:sdtContent>
  </w:sdt>
  <w:p w14:paraId="091D32DF" w14:textId="67BEF422" w:rsidR="003D4A02" w:rsidRPr="0062305A" w:rsidRDefault="003D4A02" w:rsidP="007313FC">
    <w:pPr>
      <w:pStyle w:val="Pieddepage"/>
      <w:rPr>
        <w:color w:val="FFFFFF" w:themeColor="background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48DD0" w14:textId="77777777" w:rsidR="00571F9C" w:rsidRDefault="00571F9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A9F8F" w14:textId="77777777" w:rsidR="001547D0" w:rsidRDefault="001547D0" w:rsidP="00875B93">
      <w:pPr>
        <w:spacing w:after="0" w:line="240" w:lineRule="auto"/>
      </w:pPr>
      <w:r>
        <w:separator/>
      </w:r>
    </w:p>
  </w:footnote>
  <w:footnote w:type="continuationSeparator" w:id="0">
    <w:p w14:paraId="5CEAECD7" w14:textId="77777777" w:rsidR="001547D0" w:rsidRDefault="001547D0" w:rsidP="00875B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207E1" w14:textId="77777777" w:rsidR="00571F9C" w:rsidRDefault="00571F9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A070A" w14:textId="4FC3EE3D" w:rsidR="00875B93" w:rsidRDefault="00591907">
    <w:pPr>
      <w:pStyle w:val="En-tte"/>
    </w:pPr>
    <w:r w:rsidRPr="006B1BAE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C15FDBC" wp14:editId="3FCBF4B4">
              <wp:simplePos x="0" y="0"/>
              <wp:positionH relativeFrom="column">
                <wp:posOffset>4138684</wp:posOffset>
              </wp:positionH>
              <wp:positionV relativeFrom="paragraph">
                <wp:posOffset>82682</wp:posOffset>
              </wp:positionV>
              <wp:extent cx="2266950" cy="1057701"/>
              <wp:effectExtent l="0" t="0" r="0" b="9525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6950" cy="105770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E69A9F" w14:textId="77777777" w:rsidR="00591907" w:rsidRPr="00D21479" w:rsidRDefault="00591907" w:rsidP="00591907">
                          <w:pPr>
                            <w:spacing w:before="120" w:after="0" w:line="216" w:lineRule="auto"/>
                            <w:jc w:val="right"/>
                            <w:rPr>
                              <w:rFonts w:ascii="Bebas Neue" w:hAnsi="Bebas Neue"/>
                              <w:sz w:val="44"/>
                            </w:rPr>
                          </w:pPr>
                          <w:r w:rsidRPr="00D21479">
                            <w:rPr>
                              <w:rFonts w:ascii="Bebas Neue" w:hAnsi="Bebas Neue"/>
                              <w:sz w:val="44"/>
                            </w:rPr>
                            <w:t>COMMUNIQUÉ DE PRESSE</w:t>
                          </w:r>
                        </w:p>
                        <w:p w14:paraId="1CC677BE" w14:textId="77777777" w:rsidR="00591907" w:rsidRPr="00D21479" w:rsidRDefault="00591907" w:rsidP="00591907">
                          <w:pPr>
                            <w:spacing w:after="0" w:line="216" w:lineRule="auto"/>
                            <w:jc w:val="right"/>
                            <w:rPr>
                              <w:rFonts w:ascii="Bebas Neue Pro Middle" w:hAnsi="Bebas Neue Pro Middle"/>
                              <w:sz w:val="36"/>
                            </w:rPr>
                          </w:pPr>
                          <w:r w:rsidRPr="00D21479">
                            <w:rPr>
                              <w:rFonts w:ascii="Bebas Neue Pro Middle" w:hAnsi="Bebas Neue Pro Middle"/>
                              <w:sz w:val="36"/>
                            </w:rPr>
                            <w:t>POUR DIFFUSION IMMÉDIATE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15FDBC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margin-left:325.9pt;margin-top:6.5pt;width:178.5pt;height:83.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" fillcolor="white [3201]" stroked="f" strokeweight=".5pt">
              <v:textbox>
                <w:txbxContent>
                  <w:p w14:paraId="0FE69A9F" w14:textId="77777777" w:rsidR="00591907" w:rsidRPr="00D21479" w:rsidRDefault="00591907" w:rsidP="00591907">
                    <w:pPr>
                      <w:spacing w:before="120" w:after="0" w:line="216" w:lineRule="auto"/>
                      <w:jc w:val="right"/>
                      <w:rPr>
                        <w:rFonts w:ascii="Bebas Neue" w:hAnsi="Bebas Neue"/>
                        <w:sz w:val="44"/>
                      </w:rPr>
                    </w:pPr>
                    <w:r w:rsidRPr="00D21479">
                      <w:rPr>
                        <w:rFonts w:ascii="Bebas Neue" w:hAnsi="Bebas Neue"/>
                        <w:sz w:val="44"/>
                      </w:rPr>
                      <w:t>COMMUNIQUÉ DE PRESSE</w:t>
                    </w:r>
                  </w:p>
                  <w:p w14:paraId="1CC677BE" w14:textId="77777777" w:rsidR="00591907" w:rsidRPr="00D21479" w:rsidRDefault="00591907" w:rsidP="00591907">
                    <w:pPr>
                      <w:spacing w:after="0" w:line="216" w:lineRule="auto"/>
                      <w:jc w:val="right"/>
                      <w:rPr>
                        <w:rFonts w:ascii="Bebas Neue Pro Middle" w:hAnsi="Bebas Neue Pro Middle"/>
                        <w:sz w:val="36"/>
                      </w:rPr>
                    </w:pPr>
                    <w:r w:rsidRPr="00D21479">
                      <w:rPr>
                        <w:rFonts w:ascii="Bebas Neue Pro Middle" w:hAnsi="Bebas Neue Pro Middle"/>
                        <w:sz w:val="36"/>
                      </w:rPr>
                      <w:t>POUR DIFFUSION IMMÉDIATE</w:t>
                    </w:r>
                  </w:p>
                </w:txbxContent>
              </v:textbox>
            </v:shape>
          </w:pict>
        </mc:Fallback>
      </mc:AlternateContent>
    </w:r>
    <w:r w:rsidR="00D374FD">
      <w:rPr>
        <w:noProof/>
        <w:lang w:eastAsia="fr-CA"/>
      </w:rPr>
      <w:drawing>
        <wp:anchor distT="0" distB="0" distL="114300" distR="114300" simplePos="0" relativeHeight="251657215" behindDoc="1" locked="0" layoutInCell="1" allowOverlap="1" wp14:anchorId="1FA45512" wp14:editId="55E965F1">
          <wp:simplePos x="0" y="0"/>
          <wp:positionH relativeFrom="column">
            <wp:posOffset>-695960</wp:posOffset>
          </wp:positionH>
          <wp:positionV relativeFrom="paragraph">
            <wp:posOffset>-713902</wp:posOffset>
          </wp:positionV>
          <wp:extent cx="7802880" cy="10430539"/>
          <wp:effectExtent l="0" t="0" r="7620" b="889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DM\AppData\Local\Microsoft\Windows\INetCache\Content.Word\Courbe 8,5-1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10430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B93" w:rsidRPr="00875B93">
      <w:rPr>
        <w:noProof/>
        <w:lang w:eastAsia="fr-CA"/>
      </w:rPr>
      <w:drawing>
        <wp:anchor distT="0" distB="0" distL="114300" distR="114300" simplePos="0" relativeHeight="251658240" behindDoc="0" locked="0" layoutInCell="1" allowOverlap="1" wp14:anchorId="311127B8" wp14:editId="7A2D8C71">
          <wp:simplePos x="0" y="0"/>
          <wp:positionH relativeFrom="margin">
            <wp:posOffset>5080</wp:posOffset>
          </wp:positionH>
          <wp:positionV relativeFrom="margin">
            <wp:posOffset>-1015365</wp:posOffset>
          </wp:positionV>
          <wp:extent cx="1881505" cy="810895"/>
          <wp:effectExtent l="0" t="0" r="4445" b="8255"/>
          <wp:wrapSquare wrapText="bothSides"/>
          <wp:docPr id="15" name="Image 15" descr="C:\Users\ADM\Dropbox\OUTILS\Identité visuelle - TNCDC\Logo TNCDC - 2019\Logo TNCDC\Complet\TNCDC_complet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\Dropbox\OUTILS\Identité visuelle - TNCDC\Logo TNCDC - 2019\Logo TNCDC\Complet\TNCDC_complet_CMJN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150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EB378F" w14:textId="7884FAAD" w:rsidR="00875B93" w:rsidRDefault="00875B93">
    <w:pPr>
      <w:pStyle w:val="En-tte"/>
    </w:pPr>
  </w:p>
  <w:p w14:paraId="6A05A809" w14:textId="77777777" w:rsidR="00875B93" w:rsidRDefault="00875B93">
    <w:pPr>
      <w:pStyle w:val="En-tte"/>
    </w:pPr>
  </w:p>
  <w:p w14:paraId="5A6E631B" w14:textId="58356239" w:rsidR="27342481" w:rsidRDefault="27342481" w:rsidP="27342481">
    <w:pPr>
      <w:pStyle w:val="En-tte"/>
      <w:jc w:val="right"/>
      <w:rPr>
        <w:rFonts w:ascii="Century Gothic" w:eastAsia="Century Gothic" w:hAnsi="Century Gothic" w:cs="Century Gothic"/>
        <w:b/>
        <w:bCs/>
        <w:sz w:val="32"/>
        <w:szCs w:val="32"/>
      </w:rPr>
    </w:pPr>
  </w:p>
  <w:p w14:paraId="41C8F396" w14:textId="77777777" w:rsidR="00875B93" w:rsidRDefault="00875B93">
    <w:pPr>
      <w:pStyle w:val="En-tte"/>
    </w:pPr>
  </w:p>
  <w:p w14:paraId="72A3D3EC" w14:textId="05BA4D55" w:rsidR="00875B93" w:rsidRPr="0062305A" w:rsidRDefault="00875B93">
    <w:pPr>
      <w:pStyle w:val="En-tte"/>
      <w:rPr>
        <w:color w:val="FFFFFF" w:themeColor="background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A1649" w14:textId="77777777" w:rsidR="00571F9C" w:rsidRDefault="00571F9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26E0A3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8A2C30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B9FC96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B00C4754"/>
    <w:lvl w:ilvl="0">
      <w:start w:val="1"/>
      <w:numFmt w:val="bullet"/>
      <w:pStyle w:val="Listepuces"/>
      <w:lvlText w:val="+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B93"/>
    <w:rsid w:val="0003384A"/>
    <w:rsid w:val="000621C1"/>
    <w:rsid w:val="000716CE"/>
    <w:rsid w:val="000A60FC"/>
    <w:rsid w:val="00107BAB"/>
    <w:rsid w:val="00121E24"/>
    <w:rsid w:val="00146F9B"/>
    <w:rsid w:val="001547D0"/>
    <w:rsid w:val="001E4A4E"/>
    <w:rsid w:val="001E6423"/>
    <w:rsid w:val="00206C9E"/>
    <w:rsid w:val="00214110"/>
    <w:rsid w:val="002179ED"/>
    <w:rsid w:val="002326F1"/>
    <w:rsid w:val="00273475"/>
    <w:rsid w:val="002910D4"/>
    <w:rsid w:val="002928E6"/>
    <w:rsid w:val="002A7AC3"/>
    <w:rsid w:val="002B4E27"/>
    <w:rsid w:val="00317FE2"/>
    <w:rsid w:val="003378B2"/>
    <w:rsid w:val="00387CD0"/>
    <w:rsid w:val="003967F2"/>
    <w:rsid w:val="00397DF4"/>
    <w:rsid w:val="003D4A02"/>
    <w:rsid w:val="003E2B71"/>
    <w:rsid w:val="003F7AEF"/>
    <w:rsid w:val="00413AA1"/>
    <w:rsid w:val="004823D8"/>
    <w:rsid w:val="004B37DF"/>
    <w:rsid w:val="004E60BA"/>
    <w:rsid w:val="004F532E"/>
    <w:rsid w:val="00544747"/>
    <w:rsid w:val="0056376E"/>
    <w:rsid w:val="00571F9C"/>
    <w:rsid w:val="00591907"/>
    <w:rsid w:val="005A7337"/>
    <w:rsid w:val="005F68A8"/>
    <w:rsid w:val="006156F5"/>
    <w:rsid w:val="0061773A"/>
    <w:rsid w:val="006210B9"/>
    <w:rsid w:val="0062305A"/>
    <w:rsid w:val="00631583"/>
    <w:rsid w:val="00632FB8"/>
    <w:rsid w:val="00664150"/>
    <w:rsid w:val="006661EE"/>
    <w:rsid w:val="00687483"/>
    <w:rsid w:val="006B5EE2"/>
    <w:rsid w:val="006B6493"/>
    <w:rsid w:val="006C2FE7"/>
    <w:rsid w:val="00725850"/>
    <w:rsid w:val="007313FC"/>
    <w:rsid w:val="00754C54"/>
    <w:rsid w:val="0076094E"/>
    <w:rsid w:val="007E5884"/>
    <w:rsid w:val="00875B93"/>
    <w:rsid w:val="00897861"/>
    <w:rsid w:val="00933DD5"/>
    <w:rsid w:val="00945528"/>
    <w:rsid w:val="00984732"/>
    <w:rsid w:val="009A7188"/>
    <w:rsid w:val="009B2AC0"/>
    <w:rsid w:val="009D3397"/>
    <w:rsid w:val="009E01E1"/>
    <w:rsid w:val="00A16805"/>
    <w:rsid w:val="00A44746"/>
    <w:rsid w:val="00A55FED"/>
    <w:rsid w:val="00A84716"/>
    <w:rsid w:val="00A94EC2"/>
    <w:rsid w:val="00AC0747"/>
    <w:rsid w:val="00B265A2"/>
    <w:rsid w:val="00B349DB"/>
    <w:rsid w:val="00B3682D"/>
    <w:rsid w:val="00B65BD7"/>
    <w:rsid w:val="00BA0367"/>
    <w:rsid w:val="00BA6B97"/>
    <w:rsid w:val="00BC5D5F"/>
    <w:rsid w:val="00BE708D"/>
    <w:rsid w:val="00BF0FF1"/>
    <w:rsid w:val="00BF1F6F"/>
    <w:rsid w:val="00BF6A0A"/>
    <w:rsid w:val="00C00AFB"/>
    <w:rsid w:val="00C23017"/>
    <w:rsid w:val="00CB1022"/>
    <w:rsid w:val="00CB353B"/>
    <w:rsid w:val="00CD3E89"/>
    <w:rsid w:val="00CD5047"/>
    <w:rsid w:val="00D07A28"/>
    <w:rsid w:val="00D1360E"/>
    <w:rsid w:val="00D25EA2"/>
    <w:rsid w:val="00D3492D"/>
    <w:rsid w:val="00D374FD"/>
    <w:rsid w:val="00D51C3B"/>
    <w:rsid w:val="00D90528"/>
    <w:rsid w:val="00DB226F"/>
    <w:rsid w:val="00DB7EFD"/>
    <w:rsid w:val="00DF0E35"/>
    <w:rsid w:val="00E11B52"/>
    <w:rsid w:val="00E53B6D"/>
    <w:rsid w:val="00E72765"/>
    <w:rsid w:val="00E86AA4"/>
    <w:rsid w:val="00EA533F"/>
    <w:rsid w:val="00ED4E23"/>
    <w:rsid w:val="00F009C4"/>
    <w:rsid w:val="00F10CF3"/>
    <w:rsid w:val="00F6398C"/>
    <w:rsid w:val="00FB1845"/>
    <w:rsid w:val="27342481"/>
    <w:rsid w:val="702D0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0A34A5"/>
  <w15:chartTrackingRefBased/>
  <w15:docId w15:val="{BE32DB2F-918E-4845-8D8F-7482DB2B4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5B93"/>
    <w:rPr>
      <w:rFonts w:ascii="Bebas Neue Pro" w:hAnsi="Bebas Neue Pro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2179ED"/>
    <w:pPr>
      <w:keepNext/>
      <w:keepLines/>
      <w:spacing w:before="240" w:after="0"/>
      <w:outlineLvl w:val="0"/>
    </w:pPr>
    <w:rPr>
      <w:rFonts w:ascii="Bebas Neue" w:eastAsiaTheme="majorEastAsia" w:hAnsi="Bebas Neue" w:cstheme="majorBidi"/>
      <w:spacing w:val="2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7188"/>
    <w:pPr>
      <w:keepNext/>
      <w:keepLines/>
      <w:spacing w:before="40" w:after="0"/>
      <w:outlineLvl w:val="1"/>
    </w:pPr>
    <w:rPr>
      <w:rFonts w:eastAsiaTheme="majorEastAsia" w:cstheme="majorBidi"/>
      <w:color w:val="702F8A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7188"/>
    <w:pPr>
      <w:keepNext/>
      <w:keepLines/>
      <w:spacing w:before="40" w:after="0"/>
      <w:ind w:left="708"/>
      <w:outlineLvl w:val="2"/>
    </w:pPr>
    <w:rPr>
      <w:rFonts w:ascii="Bebas Neue" w:eastAsiaTheme="majorEastAsia" w:hAnsi="Bebas Neue" w:cstheme="majorBidi"/>
      <w:color w:val="000000" w:themeColor="text1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75B9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5B93"/>
  </w:style>
  <w:style w:type="paragraph" w:styleId="Pieddepage">
    <w:name w:val="footer"/>
    <w:basedOn w:val="Normal"/>
    <w:link w:val="PieddepageCar"/>
    <w:uiPriority w:val="99"/>
    <w:unhideWhenUsed/>
    <w:rsid w:val="00875B9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5B93"/>
  </w:style>
  <w:style w:type="character" w:customStyle="1" w:styleId="Titre1Car">
    <w:name w:val="Titre 1 Car"/>
    <w:basedOn w:val="Policepardfaut"/>
    <w:link w:val="Titre1"/>
    <w:uiPriority w:val="9"/>
    <w:rsid w:val="002179ED"/>
    <w:rPr>
      <w:rFonts w:ascii="Bebas Neue" w:eastAsiaTheme="majorEastAsia" w:hAnsi="Bebas Neue" w:cstheme="majorBidi"/>
      <w:spacing w:val="2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A7188"/>
    <w:rPr>
      <w:rFonts w:ascii="Bebas Neue Pro" w:eastAsiaTheme="majorEastAsia" w:hAnsi="Bebas Neue Pro" w:cstheme="majorBidi"/>
      <w:color w:val="702F8A"/>
      <w:sz w:val="28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3D4A02"/>
    <w:pPr>
      <w:spacing w:after="0" w:line="240" w:lineRule="auto"/>
      <w:contextualSpacing/>
    </w:pPr>
    <w:rPr>
      <w:rFonts w:ascii="Bebas Neue" w:eastAsiaTheme="majorEastAsia" w:hAnsi="Bebas Neue" w:cstheme="majorBidi"/>
      <w:spacing w:val="-10"/>
      <w:kern w:val="28"/>
      <w:sz w:val="48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D4A02"/>
    <w:rPr>
      <w:rFonts w:ascii="Bebas Neue" w:eastAsiaTheme="majorEastAsia" w:hAnsi="Bebas Neue" w:cstheme="majorBidi"/>
      <w:spacing w:val="-10"/>
      <w:kern w:val="28"/>
      <w:sz w:val="48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D4A0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3D4A02"/>
    <w:rPr>
      <w:rFonts w:ascii="Bebas Neue Pro" w:eastAsiaTheme="minorEastAsia" w:hAnsi="Bebas Neue Pro"/>
      <w:color w:val="5A5A5A" w:themeColor="text1" w:themeTint="A5"/>
      <w:spacing w:val="15"/>
      <w:sz w:val="24"/>
    </w:rPr>
  </w:style>
  <w:style w:type="paragraph" w:customStyle="1" w:styleId="Listepoint">
    <w:name w:val="Liste point +"/>
    <w:basedOn w:val="Listepuces"/>
    <w:link w:val="ListepointCar"/>
    <w:qFormat/>
    <w:rsid w:val="003D4A02"/>
  </w:style>
  <w:style w:type="character" w:styleId="Accentuationlgre">
    <w:name w:val="Subtle Emphasis"/>
    <w:basedOn w:val="Policepardfaut"/>
    <w:uiPriority w:val="19"/>
    <w:qFormat/>
    <w:rsid w:val="009A7188"/>
    <w:rPr>
      <w:rFonts w:ascii="Bebas Neue Pro" w:hAnsi="Bebas Neue Pro"/>
      <w:i/>
      <w:iCs/>
      <w:color w:val="404040" w:themeColor="text1" w:themeTint="BF"/>
    </w:rPr>
  </w:style>
  <w:style w:type="paragraph" w:styleId="Listepuces">
    <w:name w:val="List Bullet"/>
    <w:basedOn w:val="Normal"/>
    <w:link w:val="ListepucesCar"/>
    <w:uiPriority w:val="99"/>
    <w:unhideWhenUsed/>
    <w:rsid w:val="003D4A02"/>
    <w:pPr>
      <w:numPr>
        <w:numId w:val="1"/>
      </w:numPr>
      <w:contextualSpacing/>
    </w:pPr>
  </w:style>
  <w:style w:type="character" w:customStyle="1" w:styleId="ListepucesCar">
    <w:name w:val="Liste à puces Car"/>
    <w:basedOn w:val="Policepardfaut"/>
    <w:link w:val="Listepuces"/>
    <w:uiPriority w:val="99"/>
    <w:rsid w:val="003D4A02"/>
    <w:rPr>
      <w:rFonts w:ascii="Bebas Neue Pro" w:hAnsi="Bebas Neue Pro"/>
      <w:sz w:val="24"/>
    </w:rPr>
  </w:style>
  <w:style w:type="character" w:customStyle="1" w:styleId="ListepointCar">
    <w:name w:val="Liste point + Car"/>
    <w:basedOn w:val="ListepucesCar"/>
    <w:link w:val="Listepoint"/>
    <w:rsid w:val="003D4A02"/>
    <w:rPr>
      <w:rFonts w:ascii="Bebas Neue Pro" w:hAnsi="Bebas Neue Pro"/>
      <w:sz w:val="24"/>
    </w:rPr>
  </w:style>
  <w:style w:type="character" w:styleId="Accentuation">
    <w:name w:val="Emphasis"/>
    <w:basedOn w:val="Policepardfaut"/>
    <w:uiPriority w:val="20"/>
    <w:qFormat/>
    <w:rsid w:val="009A7188"/>
    <w:rPr>
      <w:rFonts w:ascii="Bebas Neue Pro" w:hAnsi="Bebas Neue Pro"/>
      <w:i/>
      <w:iCs/>
      <w:sz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9A718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A7188"/>
    <w:rPr>
      <w:rFonts w:ascii="Bebas Neue Pro" w:hAnsi="Bebas Neue Pro"/>
      <w:i/>
      <w:iCs/>
      <w:color w:val="404040" w:themeColor="text1" w:themeTint="BF"/>
      <w:sz w:val="24"/>
    </w:rPr>
  </w:style>
  <w:style w:type="character" w:customStyle="1" w:styleId="Titre3Car">
    <w:name w:val="Titre 3 Car"/>
    <w:basedOn w:val="Policepardfaut"/>
    <w:link w:val="Titre3"/>
    <w:uiPriority w:val="9"/>
    <w:rsid w:val="009A7188"/>
    <w:rPr>
      <w:rFonts w:ascii="Bebas Neue" w:eastAsiaTheme="majorEastAsia" w:hAnsi="Bebas Neue" w:cstheme="majorBidi"/>
      <w:color w:val="000000" w:themeColor="text1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62305A"/>
    <w:rPr>
      <w:color w:val="0563C1" w:themeColor="hyperlink"/>
      <w:u w:val="single"/>
    </w:rPr>
  </w:style>
  <w:style w:type="paragraph" w:customStyle="1" w:styleId="Corpsdutexte">
    <w:name w:val="Corps du texte"/>
    <w:basedOn w:val="Normal"/>
    <w:link w:val="CorpsdutexteCar"/>
    <w:qFormat/>
    <w:rsid w:val="006C2FE7"/>
    <w:pPr>
      <w:widowControl w:val="0"/>
      <w:autoSpaceDE w:val="0"/>
      <w:autoSpaceDN w:val="0"/>
      <w:adjustRightInd w:val="0"/>
      <w:spacing w:before="120" w:after="0" w:line="288" w:lineRule="auto"/>
      <w:jc w:val="both"/>
      <w:textAlignment w:val="center"/>
    </w:pPr>
    <w:rPr>
      <w:rFonts w:ascii="Century Gothic" w:eastAsia="MS Mincho" w:hAnsi="Century Gothic" w:cs="Arial"/>
      <w:sz w:val="21"/>
      <w:szCs w:val="20"/>
      <w:lang w:val="en-CA" w:eastAsia="fr-FR"/>
    </w:rPr>
  </w:style>
  <w:style w:type="character" w:customStyle="1" w:styleId="CorpsdutexteCar">
    <w:name w:val="Corps du texte Car"/>
    <w:basedOn w:val="Policepardfaut"/>
    <w:link w:val="Corpsdutexte"/>
    <w:rsid w:val="006C2FE7"/>
    <w:rPr>
      <w:rFonts w:ascii="Century Gothic" w:eastAsia="MS Mincho" w:hAnsi="Century Gothic" w:cs="Arial"/>
      <w:sz w:val="21"/>
      <w:szCs w:val="20"/>
      <w:lang w:val="en-CA"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C00AFB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2928E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28E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28E6"/>
    <w:rPr>
      <w:rFonts w:ascii="Bebas Neue Pro" w:hAnsi="Bebas Neue Pro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28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28E6"/>
    <w:rPr>
      <w:rFonts w:ascii="Bebas Neue Pro" w:hAnsi="Bebas Neue Pro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28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28E6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A84716"/>
    <w:pPr>
      <w:spacing w:after="0" w:line="240" w:lineRule="auto"/>
    </w:pPr>
    <w:rPr>
      <w:rFonts w:ascii="Bebas Neue Pro" w:hAnsi="Bebas Neue Pro"/>
      <w:sz w:val="24"/>
    </w:rPr>
  </w:style>
  <w:style w:type="character" w:styleId="lev">
    <w:name w:val="Strong"/>
    <w:basedOn w:val="Policepardfaut"/>
    <w:uiPriority w:val="22"/>
    <w:qFormat/>
    <w:rsid w:val="002326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facebook.com/tncdc" TargetMode="External"/><Relationship Id="rId2" Type="http://schemas.openxmlformats.org/officeDocument/2006/relationships/hyperlink" Target="http://tncdc.com" TargetMode="External"/><Relationship Id="rId1" Type="http://schemas.openxmlformats.org/officeDocument/2006/relationships/hyperlink" Target="http://facebook.com/tncdc" TargetMode="External"/><Relationship Id="rId5" Type="http://schemas.openxmlformats.org/officeDocument/2006/relationships/image" Target="media/image3.png"/><Relationship Id="rId4" Type="http://schemas.openxmlformats.org/officeDocument/2006/relationships/hyperlink" Target="http://tncdc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B0AF1-CAE4-4FC6-8CA0-46FD17633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709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lgosselin@tactconseil.ca</cp:lastModifiedBy>
  <cp:revision>6</cp:revision>
  <cp:lastPrinted>2022-01-19T15:04:00Z</cp:lastPrinted>
  <dcterms:created xsi:type="dcterms:W3CDTF">2022-01-17T19:52:00Z</dcterms:created>
  <dcterms:modified xsi:type="dcterms:W3CDTF">2022-01-19T15:04:00Z</dcterms:modified>
</cp:coreProperties>
</file>